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5CB6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首次磋商报价表</w:t>
      </w:r>
    </w:p>
    <w:p w14:paraId="1986CD3B">
      <w:pPr>
        <w:pStyle w:val="2"/>
        <w:spacing w:line="360" w:lineRule="auto"/>
        <w:rPr>
          <w:rFonts w:hint="eastAsia" w:ascii="仿宋" w:hAnsi="仿宋" w:eastAsia="仿宋" w:cs="仿宋"/>
          <w:bCs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bCs/>
          <w:color w:val="000000"/>
          <w:sz w:val="20"/>
          <w:szCs w:val="20"/>
        </w:rPr>
        <w:t>采购项目编号：ZD0525-017ZGX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 xml:space="preserve"> 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1373"/>
        <w:gridCol w:w="1295"/>
        <w:gridCol w:w="4002"/>
      </w:tblGrid>
      <w:tr w14:paraId="64D04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7117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color w:val="000000"/>
                <w:sz w:val="20"/>
                <w:szCs w:val="20"/>
                <w:lang w:eastAsia="zh-CN"/>
              </w:rPr>
              <w:t>高新区鱼化寨街道办事处辖区围墙修补和零散垃圾清运项目</w:t>
            </w:r>
          </w:p>
        </w:tc>
      </w:tr>
      <w:tr w14:paraId="1825F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58FC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磋商报价（元）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84D2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EECD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质量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标准</w:t>
            </w: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0CEEE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项目经理及执业证书信息</w:t>
            </w:r>
          </w:p>
        </w:tc>
      </w:tr>
      <w:tr w14:paraId="54432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E237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2E3D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13DA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DA3E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 w14:paraId="0D61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D1EE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磋商报价（大写）：</w:t>
            </w:r>
          </w:p>
        </w:tc>
      </w:tr>
    </w:tbl>
    <w:p w14:paraId="32C59AB0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0"/>
          <w:szCs w:val="20"/>
        </w:rPr>
        <w:t>说明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1.磋商</w:t>
      </w:r>
      <w:r>
        <w:rPr>
          <w:rFonts w:hint="eastAsia" w:ascii="仿宋" w:hAnsi="仿宋" w:eastAsia="仿宋" w:cs="仿宋"/>
          <w:color w:val="000000"/>
          <w:sz w:val="20"/>
          <w:szCs w:val="20"/>
        </w:rPr>
        <w:t>报价只填写总报价，精确到小数点后两位，大小写不一致时，以大写为准；</w:t>
      </w:r>
    </w:p>
    <w:p w14:paraId="20C5C30D">
      <w:pPr>
        <w:spacing w:before="156" w:beforeLines="50" w:line="360" w:lineRule="auto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2.本表所列各项数据与响应文件其他地方表述不一致时，以本表为准；</w:t>
      </w:r>
    </w:p>
    <w:p w14:paraId="796C3B51">
      <w:pPr>
        <w:spacing w:before="156" w:beforeLines="50"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3.首次报价及最终报价均不得高于采购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预算及</w:t>
      </w:r>
      <w:r>
        <w:rPr>
          <w:rFonts w:hint="eastAsia" w:ascii="仿宋" w:hAnsi="仿宋" w:eastAsia="仿宋" w:cs="仿宋"/>
          <w:sz w:val="20"/>
          <w:szCs w:val="20"/>
        </w:rPr>
        <w:t>最高限价，否则按无效响应处理。</w:t>
      </w:r>
    </w:p>
    <w:p w14:paraId="1A647B91">
      <w:pPr>
        <w:spacing w:line="360" w:lineRule="auto"/>
        <w:ind w:firstLine="1600" w:firstLineChars="800"/>
        <w:rPr>
          <w:rFonts w:hint="eastAsia" w:ascii="仿宋" w:hAnsi="仿宋" w:eastAsia="仿宋" w:cs="仿宋"/>
          <w:sz w:val="20"/>
          <w:szCs w:val="20"/>
        </w:rPr>
      </w:pPr>
    </w:p>
    <w:p w14:paraId="3F1DD88E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4E151FB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0A32CF94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</w:p>
    <w:p w14:paraId="0F247298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</w:p>
    <w:p w14:paraId="407F067E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或盖章</w:t>
      </w: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</w:rPr>
        <w:t>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65C714A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7BD027A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156714A"/>
    <w:rsid w:val="01953B0F"/>
    <w:rsid w:val="02895753"/>
    <w:rsid w:val="08B03B5E"/>
    <w:rsid w:val="27767CDA"/>
    <w:rsid w:val="5FDB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107</Characters>
  <Lines>0</Lines>
  <Paragraphs>0</Paragraphs>
  <TotalTime>2</TotalTime>
  <ScaleCrop>false</ScaleCrop>
  <LinksUpToDate>false</LinksUpToDate>
  <CharactersWithSpaces>187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2025-06-26T03:07:28Z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