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565775">
      <w:pPr>
        <w:widowControl w:val="0"/>
        <w:kinsoku/>
        <w:spacing w:line="360" w:lineRule="auto"/>
        <w:ind w:left="372"/>
        <w:rPr>
          <w:rFonts w:hint="eastAsia" w:ascii="仿宋" w:hAnsi="仿宋" w:eastAsia="仿宋" w:cs="仿宋"/>
          <w:color w:val="auto"/>
          <w:sz w:val="32"/>
          <w:szCs w:val="32"/>
        </w:rPr>
      </w:pPr>
    </w:p>
    <w:p w14:paraId="3E65F3E7">
      <w:pPr>
        <w:widowControl w:val="0"/>
        <w:kinsoku/>
        <w:spacing w:line="360" w:lineRule="auto"/>
        <w:ind w:left="372"/>
        <w:rPr>
          <w:rFonts w:hint="eastAsia" w:ascii="仿宋" w:hAnsi="仿宋" w:eastAsia="仿宋" w:cs="仿宋"/>
          <w:color w:val="auto"/>
          <w:sz w:val="32"/>
          <w:szCs w:val="32"/>
        </w:rPr>
      </w:pPr>
    </w:p>
    <w:p w14:paraId="684ABAEF">
      <w:pPr>
        <w:widowControl w:val="0"/>
        <w:kinsoku/>
        <w:spacing w:line="360" w:lineRule="auto"/>
        <w:ind w:left="372"/>
        <w:rPr>
          <w:rFonts w:hint="eastAsia" w:ascii="黑体" w:hAnsi="黑体" w:eastAsia="黑体" w:cs="黑体"/>
          <w:color w:val="auto"/>
          <w:sz w:val="44"/>
          <w:szCs w:val="44"/>
        </w:rPr>
      </w:pPr>
    </w:p>
    <w:p w14:paraId="0D11D712">
      <w:pPr>
        <w:widowControl w:val="0"/>
        <w:kinsoku/>
        <w:spacing w:line="360" w:lineRule="auto"/>
        <w:jc w:val="center"/>
        <w:rPr>
          <w:rFonts w:hint="eastAsia" w:ascii="黑体" w:hAnsi="黑体" w:eastAsia="黑体" w:cs="黑体"/>
          <w:color w:val="auto"/>
          <w:sz w:val="44"/>
          <w:szCs w:val="44"/>
        </w:rPr>
      </w:pPr>
      <w:r>
        <w:rPr>
          <w:rFonts w:hint="eastAsia" w:ascii="黑体" w:hAnsi="黑体" w:eastAsia="黑体" w:cs="黑体"/>
          <w:color w:val="auto"/>
          <w:sz w:val="44"/>
          <w:szCs w:val="44"/>
        </w:rPr>
        <w:t>五星街道环卫保洁及绿化养护外包项目</w:t>
      </w:r>
    </w:p>
    <w:p w14:paraId="0C1074C6">
      <w:pPr>
        <w:widowControl w:val="0"/>
        <w:kinsoku/>
        <w:spacing w:line="360" w:lineRule="auto"/>
        <w:jc w:val="center"/>
        <w:rPr>
          <w:rFonts w:hint="eastAsia" w:ascii="黑体" w:hAnsi="黑体" w:eastAsia="黑体" w:cs="黑体"/>
          <w:color w:val="auto"/>
          <w:sz w:val="44"/>
          <w:szCs w:val="44"/>
        </w:rPr>
      </w:pPr>
      <w:r>
        <w:rPr>
          <w:rFonts w:hint="eastAsia" w:ascii="黑体" w:hAnsi="黑体" w:eastAsia="黑体" w:cs="黑体"/>
          <w:color w:val="auto"/>
          <w:sz w:val="44"/>
          <w:szCs w:val="44"/>
        </w:rPr>
        <w:t>外包协议</w:t>
      </w:r>
    </w:p>
    <w:p w14:paraId="6E5C8B0C">
      <w:pPr>
        <w:widowControl w:val="0"/>
        <w:kinsoku/>
        <w:spacing w:line="360" w:lineRule="auto"/>
        <w:rPr>
          <w:rFonts w:hint="eastAsia" w:ascii="仿宋" w:hAnsi="仿宋" w:eastAsia="仿宋" w:cs="仿宋"/>
          <w:color w:val="auto"/>
          <w:sz w:val="32"/>
          <w:szCs w:val="32"/>
        </w:rPr>
      </w:pPr>
    </w:p>
    <w:p w14:paraId="6F4F3142">
      <w:pPr>
        <w:widowControl w:val="0"/>
        <w:kinsoku/>
        <w:spacing w:line="360" w:lineRule="auto"/>
        <w:rPr>
          <w:rFonts w:hint="eastAsia" w:ascii="仿宋" w:hAnsi="仿宋" w:eastAsia="仿宋" w:cs="仿宋"/>
          <w:color w:val="auto"/>
          <w:sz w:val="32"/>
          <w:szCs w:val="32"/>
        </w:rPr>
      </w:pPr>
    </w:p>
    <w:p w14:paraId="4C21B261">
      <w:pPr>
        <w:widowControl w:val="0"/>
        <w:kinsoku/>
        <w:spacing w:line="360" w:lineRule="auto"/>
        <w:rPr>
          <w:rFonts w:hint="eastAsia" w:ascii="仿宋" w:hAnsi="仿宋" w:eastAsia="仿宋" w:cs="仿宋"/>
          <w:color w:val="auto"/>
          <w:sz w:val="32"/>
          <w:szCs w:val="32"/>
        </w:rPr>
      </w:pPr>
    </w:p>
    <w:p w14:paraId="43C50163">
      <w:pPr>
        <w:widowControl w:val="0"/>
        <w:kinsoku/>
        <w:spacing w:line="360" w:lineRule="auto"/>
        <w:rPr>
          <w:rFonts w:hint="eastAsia" w:ascii="仿宋" w:hAnsi="仿宋" w:eastAsia="仿宋" w:cs="仿宋"/>
          <w:color w:val="auto"/>
          <w:sz w:val="32"/>
          <w:szCs w:val="32"/>
        </w:rPr>
      </w:pPr>
    </w:p>
    <w:p w14:paraId="77D31E1C">
      <w:pPr>
        <w:widowControl w:val="0"/>
        <w:kinsoku/>
        <w:spacing w:line="360" w:lineRule="auto"/>
        <w:rPr>
          <w:rFonts w:hint="eastAsia" w:ascii="仿宋" w:hAnsi="仿宋" w:eastAsia="仿宋" w:cs="仿宋"/>
          <w:color w:val="auto"/>
          <w:sz w:val="32"/>
          <w:szCs w:val="32"/>
        </w:rPr>
      </w:pPr>
    </w:p>
    <w:p w14:paraId="79370EA1">
      <w:pPr>
        <w:widowControl w:val="0"/>
        <w:kinsoku/>
        <w:spacing w:line="360" w:lineRule="auto"/>
        <w:rPr>
          <w:rFonts w:hint="eastAsia" w:ascii="仿宋" w:hAnsi="仿宋" w:eastAsia="仿宋" w:cs="仿宋"/>
          <w:color w:val="auto"/>
          <w:sz w:val="32"/>
          <w:szCs w:val="32"/>
        </w:rPr>
      </w:pPr>
    </w:p>
    <w:p w14:paraId="11033133">
      <w:pPr>
        <w:widowControl w:val="0"/>
        <w:kinsoku/>
        <w:spacing w:line="360" w:lineRule="auto"/>
        <w:rPr>
          <w:rFonts w:hint="eastAsia" w:ascii="仿宋" w:hAnsi="仿宋" w:eastAsia="仿宋" w:cs="仿宋"/>
          <w:color w:val="auto"/>
          <w:sz w:val="32"/>
          <w:szCs w:val="32"/>
        </w:rPr>
      </w:pPr>
    </w:p>
    <w:p w14:paraId="4283339D">
      <w:pPr>
        <w:widowControl w:val="0"/>
        <w:kinsoku/>
        <w:spacing w:line="360" w:lineRule="auto"/>
        <w:rPr>
          <w:rFonts w:hint="eastAsia" w:ascii="仿宋" w:hAnsi="仿宋" w:eastAsia="仿宋" w:cs="仿宋"/>
          <w:color w:val="auto"/>
          <w:sz w:val="32"/>
          <w:szCs w:val="32"/>
        </w:rPr>
      </w:pPr>
    </w:p>
    <w:p w14:paraId="3E5FEFD1">
      <w:pPr>
        <w:widowControl w:val="0"/>
        <w:kinsoku/>
        <w:spacing w:line="360" w:lineRule="auto"/>
        <w:rPr>
          <w:rFonts w:hint="eastAsia" w:ascii="仿宋" w:hAnsi="仿宋" w:eastAsia="仿宋" w:cs="仿宋"/>
          <w:color w:val="auto"/>
          <w:sz w:val="32"/>
          <w:szCs w:val="32"/>
        </w:rPr>
      </w:pPr>
    </w:p>
    <w:p w14:paraId="5BB94D6D">
      <w:pPr>
        <w:widowControl w:val="0"/>
        <w:kinsoku/>
        <w:spacing w:line="360" w:lineRule="auto"/>
        <w:ind w:left="958" w:leftChars="304" w:hanging="320" w:hangingChars="100"/>
        <w:jc w:val="left"/>
        <w:rPr>
          <w:rFonts w:hint="eastAsia" w:ascii="仿宋" w:hAnsi="仿宋" w:eastAsia="仿宋" w:cs="仿宋"/>
          <w:color w:val="auto"/>
          <w:sz w:val="32"/>
          <w:szCs w:val="32"/>
          <w:u w:val="single"/>
          <w:lang w:val="en-US" w:eastAsia="zh-CN"/>
        </w:rPr>
      </w:pPr>
      <w:r>
        <w:rPr>
          <w:rFonts w:hint="eastAsia" w:ascii="黑体" w:hAnsi="黑体" w:eastAsia="黑体" w:cs="黑体"/>
          <w:color w:val="auto"/>
          <w:sz w:val="32"/>
          <w:szCs w:val="32"/>
        </w:rPr>
        <w:t>甲方(采购人)</w:t>
      </w:r>
      <w:r>
        <w:rPr>
          <w:rFonts w:hint="eastAsia" w:ascii="仿宋" w:hAnsi="仿宋" w:eastAsia="仿宋" w:cs="仿宋"/>
          <w:color w:val="auto"/>
          <w:sz w:val="32"/>
          <w:szCs w:val="32"/>
        </w:rPr>
        <w:t>：</w:t>
      </w:r>
      <w:r>
        <w:rPr>
          <w:rFonts w:hint="eastAsia" w:ascii="仿宋" w:hAnsi="仿宋" w:eastAsia="仿宋" w:cs="仿宋"/>
          <w:color w:val="auto"/>
          <w:sz w:val="32"/>
          <w:szCs w:val="32"/>
          <w:u w:val="single"/>
          <w:lang w:val="en-US" w:eastAsia="zh-CN"/>
        </w:rPr>
        <w:t xml:space="preserve">                          </w:t>
      </w:r>
    </w:p>
    <w:p w14:paraId="43F45DBD">
      <w:pPr>
        <w:widowControl w:val="0"/>
        <w:kinsoku/>
        <w:spacing w:line="360" w:lineRule="auto"/>
        <w:ind w:left="958" w:leftChars="304" w:hanging="320" w:hangingChars="100"/>
        <w:jc w:val="left"/>
        <w:rPr>
          <w:rFonts w:hint="eastAsia" w:ascii="仿宋" w:hAnsi="仿宋" w:eastAsia="仿宋" w:cs="仿宋"/>
          <w:color w:val="auto"/>
          <w:sz w:val="32"/>
          <w:szCs w:val="32"/>
          <w:u w:val="single"/>
          <w:lang w:val="en-US" w:eastAsia="zh-CN"/>
        </w:rPr>
      </w:pP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HYPERLINK "http://set2.mail.qq.com/cgi-bin/mail_spam?action=check_link&amp;spam=0&amp;url=http%3A%2F%2Fwww%2Ebaidu%2Ecom%2Fs%3Fwd%3D%25E4%25B9%2599%25E6%2596%25B9%26hl_tag%3Dtextlink%26tn%3DSE_hldp01350_v6v6zkg6" </w:instrText>
      </w:r>
      <w:r>
        <w:rPr>
          <w:rFonts w:hint="eastAsia" w:ascii="黑体" w:hAnsi="黑体" w:eastAsia="黑体" w:cs="黑体"/>
          <w:sz w:val="32"/>
          <w:szCs w:val="32"/>
        </w:rPr>
        <w:fldChar w:fldCharType="separate"/>
      </w:r>
      <w:r>
        <w:rPr>
          <w:rFonts w:hint="eastAsia" w:ascii="黑体" w:hAnsi="黑体" w:eastAsia="黑体" w:cs="黑体"/>
          <w:color w:val="auto"/>
          <w:sz w:val="32"/>
          <w:szCs w:val="32"/>
        </w:rPr>
        <w:t>乙方</w:t>
      </w:r>
      <w:r>
        <w:rPr>
          <w:rFonts w:hint="eastAsia" w:ascii="黑体" w:hAnsi="黑体" w:eastAsia="黑体" w:cs="黑体"/>
          <w:color w:val="auto"/>
          <w:sz w:val="32"/>
          <w:szCs w:val="32"/>
        </w:rPr>
        <w:fldChar w:fldCharType="end"/>
      </w:r>
      <w:r>
        <w:rPr>
          <w:rFonts w:hint="eastAsia" w:ascii="黑体" w:hAnsi="黑体" w:eastAsia="黑体" w:cs="黑体"/>
          <w:color w:val="auto"/>
          <w:sz w:val="32"/>
          <w:szCs w:val="32"/>
        </w:rPr>
        <w:t>(供应商)</w:t>
      </w:r>
      <w:r>
        <w:rPr>
          <w:rFonts w:hint="eastAsia" w:ascii="仿宋" w:hAnsi="仿宋" w:eastAsia="仿宋" w:cs="仿宋"/>
          <w:color w:val="auto"/>
          <w:sz w:val="32"/>
          <w:szCs w:val="32"/>
        </w:rPr>
        <w:t>：</w:t>
      </w:r>
      <w:r>
        <w:rPr>
          <w:rFonts w:hint="eastAsia" w:ascii="仿宋" w:hAnsi="仿宋" w:eastAsia="仿宋" w:cs="仿宋"/>
          <w:color w:val="auto"/>
          <w:sz w:val="32"/>
          <w:szCs w:val="32"/>
          <w:u w:val="single"/>
          <w:lang w:val="en-US" w:eastAsia="zh-CN"/>
        </w:rPr>
        <w:t xml:space="preserve">                          </w:t>
      </w:r>
    </w:p>
    <w:p w14:paraId="21E3B978">
      <w:pPr>
        <w:widowControl w:val="0"/>
        <w:kinsoku/>
        <w:spacing w:line="360" w:lineRule="auto"/>
        <w:jc w:val="left"/>
        <w:rPr>
          <w:rFonts w:hint="eastAsia" w:ascii="仿宋" w:hAnsi="仿宋" w:eastAsia="仿宋" w:cs="仿宋"/>
          <w:color w:val="auto"/>
          <w:sz w:val="32"/>
          <w:szCs w:val="32"/>
          <w:u w:val="single"/>
          <w:lang w:val="en-US" w:eastAsia="zh-CN"/>
        </w:rPr>
      </w:pPr>
    </w:p>
    <w:p w14:paraId="766CF877">
      <w:pPr>
        <w:widowControl w:val="0"/>
        <w:kinsoku/>
        <w:spacing w:line="360" w:lineRule="auto"/>
        <w:ind w:firstLine="1285" w:firstLineChars="400"/>
        <w:jc w:val="left"/>
        <w:rPr>
          <w:rFonts w:hint="eastAsia" w:ascii="仿宋" w:hAnsi="仿宋" w:eastAsia="仿宋" w:cs="仿宋"/>
          <w:b/>
          <w:bCs/>
          <w:color w:val="auto"/>
          <w:sz w:val="32"/>
          <w:szCs w:val="32"/>
        </w:rPr>
      </w:pPr>
      <w:r>
        <w:rPr>
          <w:rFonts w:hint="eastAsia" w:ascii="仿宋" w:hAnsi="仿宋" w:eastAsia="仿宋" w:cs="仿宋"/>
          <w:b/>
          <w:bCs/>
          <w:color w:val="auto"/>
          <w:sz w:val="32"/>
          <w:szCs w:val="32"/>
        </w:rPr>
        <w:t>签 订 时 间 ：</w:t>
      </w:r>
      <w:r>
        <w:rPr>
          <w:rFonts w:hint="eastAsia" w:ascii="仿宋" w:hAnsi="仿宋" w:eastAsia="仿宋" w:cs="仿宋"/>
          <w:b/>
          <w:bCs/>
          <w:color w:val="auto"/>
          <w:sz w:val="32"/>
          <w:szCs w:val="32"/>
          <w:u w:val="single"/>
        </w:rPr>
        <w:t xml:space="preserve">     </w:t>
      </w:r>
      <w:r>
        <w:rPr>
          <w:rFonts w:hint="eastAsia" w:ascii="仿宋" w:hAnsi="仿宋" w:eastAsia="仿宋" w:cs="仿宋"/>
          <w:b/>
          <w:bCs/>
          <w:color w:val="auto"/>
          <w:sz w:val="32"/>
          <w:szCs w:val="32"/>
        </w:rPr>
        <w:t>年</w:t>
      </w:r>
      <w:r>
        <w:rPr>
          <w:rFonts w:hint="eastAsia" w:ascii="仿宋" w:hAnsi="仿宋" w:eastAsia="仿宋" w:cs="仿宋"/>
          <w:b/>
          <w:bCs/>
          <w:color w:val="auto"/>
          <w:sz w:val="32"/>
          <w:szCs w:val="32"/>
          <w:u w:val="single"/>
        </w:rPr>
        <w:t xml:space="preserve">   </w:t>
      </w:r>
      <w:r>
        <w:rPr>
          <w:rFonts w:hint="eastAsia" w:ascii="仿宋" w:hAnsi="仿宋" w:eastAsia="仿宋" w:cs="仿宋"/>
          <w:b/>
          <w:bCs/>
          <w:color w:val="auto"/>
          <w:sz w:val="32"/>
          <w:szCs w:val="32"/>
        </w:rPr>
        <w:t>月</w:t>
      </w:r>
      <w:r>
        <w:rPr>
          <w:rFonts w:hint="eastAsia" w:ascii="仿宋" w:hAnsi="仿宋" w:eastAsia="仿宋" w:cs="仿宋"/>
          <w:b/>
          <w:bCs/>
          <w:color w:val="auto"/>
          <w:sz w:val="32"/>
          <w:szCs w:val="32"/>
          <w:u w:val="single"/>
        </w:rPr>
        <w:t xml:space="preserve">   </w:t>
      </w:r>
      <w:r>
        <w:rPr>
          <w:rFonts w:hint="eastAsia" w:ascii="仿宋" w:hAnsi="仿宋" w:eastAsia="仿宋" w:cs="仿宋"/>
          <w:b/>
          <w:bCs/>
          <w:color w:val="auto"/>
          <w:sz w:val="32"/>
          <w:szCs w:val="32"/>
        </w:rPr>
        <w:t>日</w:t>
      </w:r>
    </w:p>
    <w:p w14:paraId="4D84F530">
      <w:pPr>
        <w:widowControl w:val="0"/>
        <w:kinsoku/>
        <w:spacing w:line="360" w:lineRule="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w:t>
      </w:r>
    </w:p>
    <w:p w14:paraId="00BF0FBA">
      <w:pPr>
        <w:widowControl w:val="0"/>
        <w:kinsoku/>
        <w:spacing w:line="360" w:lineRule="auto"/>
        <w:rPr>
          <w:rFonts w:hint="eastAsia" w:ascii="仿宋" w:hAnsi="仿宋" w:eastAsia="仿宋" w:cs="仿宋"/>
          <w:color w:val="auto"/>
          <w:sz w:val="32"/>
          <w:szCs w:val="32"/>
        </w:rPr>
      </w:pPr>
    </w:p>
    <w:p w14:paraId="3CCB0B84">
      <w:pPr>
        <w:widowControl w:val="0"/>
        <w:kinsoku/>
        <w:spacing w:line="360" w:lineRule="auto"/>
        <w:ind w:firstLine="640" w:firstLineChars="200"/>
        <w:rPr>
          <w:rFonts w:hint="eastAsia" w:ascii="仿宋" w:hAnsi="仿宋" w:eastAsia="仿宋" w:cs="仿宋"/>
          <w:color w:val="auto"/>
          <w:sz w:val="32"/>
          <w:szCs w:val="32"/>
        </w:rPr>
        <w:sectPr>
          <w:headerReference r:id="rId5" w:type="first"/>
          <w:footerReference r:id="rId8" w:type="first"/>
          <w:headerReference r:id="rId3" w:type="default"/>
          <w:footerReference r:id="rId6" w:type="default"/>
          <w:headerReference r:id="rId4" w:type="even"/>
          <w:footerReference r:id="rId7" w:type="even"/>
          <w:pgSz w:w="11910" w:h="16840"/>
          <w:pgMar w:top="1440" w:right="1800" w:bottom="1440" w:left="1800" w:header="567" w:footer="510" w:gutter="0"/>
          <w:pgNumType w:start="1"/>
          <w:cols w:space="720" w:num="1"/>
          <w:docGrid w:linePitch="312" w:charSpace="0"/>
        </w:sectPr>
      </w:pPr>
    </w:p>
    <w:p w14:paraId="5485A297">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textAlignment w:val="baseline"/>
        <w:rPr>
          <w:rFonts w:hint="default" w:ascii="仿宋" w:hAnsi="仿宋" w:eastAsia="仿宋" w:cs="仿宋"/>
          <w:color w:val="auto"/>
          <w:sz w:val="32"/>
          <w:szCs w:val="32"/>
          <w:u w:val="single"/>
          <w:lang w:val="en-US" w:eastAsia="zh-CN"/>
        </w:rPr>
      </w:pPr>
      <w:r>
        <w:rPr>
          <w:rFonts w:hint="eastAsia" w:ascii="仿宋" w:hAnsi="仿宋" w:eastAsia="仿宋" w:cs="仿宋"/>
          <w:color w:val="auto"/>
          <w:sz w:val="32"/>
          <w:szCs w:val="32"/>
        </w:rPr>
        <w:t>甲方(</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"http://set2.mail.qq.com/cgi-bin/mail_spam?action=check_link&amp;spam=0&amp;url=http%3A%2F%2Fwww%2Ebaidu%2Ecom%2Fs%3Fwd%3D%25E9%2587%2587%25E8%25B4%25AD%25E5%258D%2595%26hl_tag%3Dtextlink%26tn%3DSE_hldp01350_v6v6zkg6" </w:instrText>
      </w:r>
      <w:r>
        <w:rPr>
          <w:rFonts w:hint="eastAsia" w:ascii="仿宋" w:hAnsi="仿宋" w:eastAsia="仿宋" w:cs="仿宋"/>
          <w:sz w:val="32"/>
          <w:szCs w:val="32"/>
        </w:rPr>
        <w:fldChar w:fldCharType="separate"/>
      </w:r>
      <w:r>
        <w:rPr>
          <w:rFonts w:hint="eastAsia" w:ascii="仿宋" w:hAnsi="仿宋" w:eastAsia="仿宋" w:cs="仿宋"/>
          <w:color w:val="auto"/>
          <w:sz w:val="32"/>
          <w:szCs w:val="32"/>
        </w:rPr>
        <w:t>采购人</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w:t>
      </w:r>
      <w:r>
        <w:rPr>
          <w:rFonts w:hint="eastAsia" w:ascii="仿宋" w:hAnsi="仿宋" w:eastAsia="仿宋" w:cs="仿宋"/>
          <w:color w:val="auto"/>
          <w:sz w:val="32"/>
          <w:szCs w:val="32"/>
          <w:u w:val="single"/>
          <w:lang w:val="en-US" w:eastAsia="zh-CN"/>
        </w:rPr>
        <w:t xml:space="preserve">                          </w:t>
      </w:r>
    </w:p>
    <w:p w14:paraId="25BB65C8">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textAlignment w:val="baseline"/>
        <w:rPr>
          <w:rFonts w:hint="default" w:ascii="仿宋" w:hAnsi="仿宋" w:eastAsia="仿宋" w:cs="仿宋"/>
          <w:color w:val="auto"/>
          <w:sz w:val="32"/>
          <w:szCs w:val="32"/>
          <w:u w:val="single"/>
          <w:lang w:val="en-US" w:eastAsia="zh-CN"/>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"http://set2.mail.qq.com/cgi-bin/mail_spam?action=check_link&amp;spam=0&amp;url=http%3A%2F%2Fwww%2Ebaidu%2Ecom%2Fs%3Fwd%3D%25E4%25B9%2599%25E6%2596%25B9%26hl_tag%3Dtextlink%26tn%3DSE_hldp01350_v6v6zkg6" </w:instrText>
      </w:r>
      <w:r>
        <w:rPr>
          <w:rFonts w:hint="eastAsia" w:ascii="仿宋" w:hAnsi="仿宋" w:eastAsia="仿宋" w:cs="仿宋"/>
          <w:sz w:val="32"/>
          <w:szCs w:val="32"/>
        </w:rPr>
        <w:fldChar w:fldCharType="separate"/>
      </w:r>
      <w:r>
        <w:rPr>
          <w:rFonts w:hint="eastAsia" w:ascii="仿宋" w:hAnsi="仿宋" w:eastAsia="仿宋" w:cs="仿宋"/>
          <w:color w:val="auto"/>
          <w:sz w:val="32"/>
          <w:szCs w:val="32"/>
        </w:rPr>
        <w:t>乙方</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(供应商)：</w:t>
      </w:r>
      <w:r>
        <w:rPr>
          <w:rFonts w:hint="eastAsia" w:ascii="仿宋" w:hAnsi="仿宋" w:eastAsia="仿宋" w:cs="仿宋"/>
          <w:color w:val="auto"/>
          <w:sz w:val="32"/>
          <w:szCs w:val="32"/>
          <w:u w:val="single"/>
          <w:lang w:val="en-US" w:eastAsia="zh-CN"/>
        </w:rPr>
        <w:t xml:space="preserve">                          </w:t>
      </w:r>
    </w:p>
    <w:p w14:paraId="213C64DA">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color w:val="auto"/>
          <w:sz w:val="32"/>
          <w:szCs w:val="32"/>
        </w:rPr>
      </w:pPr>
      <w:r>
        <w:rPr>
          <w:rFonts w:hint="eastAsia" w:ascii="仿宋" w:hAnsi="仿宋" w:eastAsia="仿宋" w:cs="仿宋"/>
          <w:color w:val="auto"/>
          <w:sz w:val="32"/>
          <w:szCs w:val="32"/>
        </w:rPr>
        <w:t>甲乙双方根据</w:t>
      </w:r>
      <w:r>
        <w:rPr>
          <w:rFonts w:hint="eastAsia" w:ascii="仿宋" w:hAnsi="仿宋" w:eastAsia="仿宋" w:cs="仿宋"/>
          <w:color w:val="auto"/>
          <w:sz w:val="32"/>
          <w:szCs w:val="32"/>
          <w:u w:val="single"/>
          <w:lang w:val="en-US" w:eastAsia="zh-CN"/>
        </w:rPr>
        <w:t xml:space="preserve">    </w:t>
      </w:r>
      <w:r>
        <w:rPr>
          <w:rFonts w:hint="eastAsia" w:ascii="仿宋" w:hAnsi="仿宋" w:eastAsia="仿宋" w:cs="仿宋"/>
          <w:color w:val="auto"/>
          <w:sz w:val="32"/>
          <w:szCs w:val="32"/>
        </w:rPr>
        <w:t>年</w:t>
      </w:r>
      <w:r>
        <w:rPr>
          <w:rFonts w:hint="eastAsia" w:ascii="仿宋" w:hAnsi="仿宋" w:eastAsia="仿宋" w:cs="仿宋"/>
          <w:color w:val="auto"/>
          <w:sz w:val="32"/>
          <w:szCs w:val="32"/>
          <w:u w:val="single"/>
          <w:lang w:val="en-US" w:eastAsia="zh-CN"/>
        </w:rPr>
        <w:t xml:space="preserve">   </w:t>
      </w:r>
      <w:r>
        <w:rPr>
          <w:rFonts w:hint="eastAsia" w:ascii="仿宋" w:hAnsi="仿宋" w:eastAsia="仿宋" w:cs="仿宋"/>
          <w:color w:val="auto"/>
          <w:sz w:val="32"/>
          <w:szCs w:val="32"/>
        </w:rPr>
        <w:t>月</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u w:val="single"/>
          <w:lang w:val="en-US" w:eastAsia="zh-CN"/>
        </w:rPr>
        <w:t xml:space="preserve">   </w:t>
      </w:r>
      <w:r>
        <w:rPr>
          <w:rFonts w:hint="eastAsia" w:ascii="仿宋" w:hAnsi="仿宋" w:eastAsia="仿宋" w:cs="仿宋"/>
          <w:color w:val="auto"/>
          <w:sz w:val="32"/>
          <w:szCs w:val="32"/>
        </w:rPr>
        <w:t>日五星街道环卫保洁及绿化养护外包项目外包协议政府采购项目项目编</w:t>
      </w:r>
      <w:bookmarkStart w:id="1" w:name="_GoBack"/>
      <w:bookmarkEnd w:id="1"/>
      <w:r>
        <w:rPr>
          <w:rFonts w:hint="eastAsia" w:ascii="仿宋" w:hAnsi="仿宋" w:eastAsia="仿宋" w:cs="仿宋"/>
          <w:color w:val="auto"/>
          <w:sz w:val="32"/>
          <w:szCs w:val="32"/>
        </w:rPr>
        <w:t>号:</w:t>
      </w:r>
      <w:r>
        <w:rPr>
          <w:rFonts w:hint="eastAsia" w:ascii="仿宋" w:hAnsi="仿宋" w:eastAsia="仿宋" w:cs="仿宋"/>
          <w:color w:val="auto"/>
          <w:sz w:val="32"/>
          <w:szCs w:val="32"/>
          <w:u w:val="single"/>
          <w:lang w:val="en-US" w:eastAsia="zh-CN"/>
        </w:rPr>
        <w:t xml:space="preserve">         </w:t>
      </w:r>
      <w:r>
        <w:rPr>
          <w:rFonts w:hint="eastAsia" w:ascii="仿宋" w:hAnsi="仿宋" w:eastAsia="仿宋" w:cs="仿宋"/>
          <w:color w:val="auto"/>
          <w:sz w:val="32"/>
          <w:szCs w:val="32"/>
        </w:rPr>
        <w:t>,采购结果及相关招标</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"http://set2.mail.qq.com/cgi-bin/mail_spam?action=check_link&amp;spam=0&amp;url=http%3A%2F%2Fwww%2Ebaidu%2Ecom%2Fs%3Fwd%3D%25E6%258A%2595%25E6%25A0%2587%25E6%2596%2587%25E4%25BB%25B6%26hl_tag%3Dtextlink%26tn%3DSE_hldp01350_v6v6zkg6" </w:instrText>
      </w:r>
      <w:r>
        <w:rPr>
          <w:rFonts w:hint="eastAsia" w:ascii="仿宋" w:hAnsi="仿宋" w:eastAsia="仿宋" w:cs="仿宋"/>
          <w:sz w:val="32"/>
          <w:szCs w:val="32"/>
        </w:rPr>
        <w:fldChar w:fldCharType="separate"/>
      </w:r>
      <w:r>
        <w:rPr>
          <w:rFonts w:hint="eastAsia" w:ascii="仿宋" w:hAnsi="仿宋" w:eastAsia="仿宋" w:cs="仿宋"/>
          <w:color w:val="auto"/>
          <w:sz w:val="32"/>
          <w:szCs w:val="32"/>
        </w:rPr>
        <w:t>文件</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及投标文件，本协议经双方友好协商平等、诚信、协作的原则，按照《中华人民共和国政府采购法》和《中华人民共和国民法典》经协商一致，订立本协议，供双方共同遵守：</w:t>
      </w:r>
    </w:p>
    <w:p w14:paraId="24F5C5B4">
      <w:pPr>
        <w:keepNext w:val="0"/>
        <w:keepLines w:val="0"/>
        <w:pageBreakBefore w:val="0"/>
        <w:widowControl w:val="0"/>
        <w:kinsoku/>
        <w:wordWrap/>
        <w:overflowPunct/>
        <w:topLinePunct w:val="0"/>
        <w:autoSpaceDE w:val="0"/>
        <w:autoSpaceDN w:val="0"/>
        <w:bidi w:val="0"/>
        <w:adjustRightInd w:val="0"/>
        <w:snapToGrid w:val="0"/>
        <w:spacing w:line="560" w:lineRule="exact"/>
        <w:ind w:left="47" w:firstLine="640" w:firstLineChars="200"/>
        <w:textAlignment w:val="baseline"/>
        <w:outlineLvl w:val="1"/>
        <w:rPr>
          <w:rFonts w:hint="eastAsia" w:ascii="黑体" w:hAnsi="黑体" w:eastAsia="黑体" w:cs="黑体"/>
          <w:color w:val="auto"/>
          <w:sz w:val="32"/>
          <w:szCs w:val="32"/>
        </w:rPr>
      </w:pPr>
      <w:bookmarkStart w:id="0" w:name="_bookmark6"/>
      <w:bookmarkEnd w:id="0"/>
      <w:r>
        <w:rPr>
          <w:rFonts w:hint="eastAsia" w:ascii="黑体" w:hAnsi="黑体" w:eastAsia="黑体" w:cs="黑体"/>
          <w:color w:val="auto"/>
          <w:sz w:val="32"/>
          <w:szCs w:val="32"/>
        </w:rPr>
        <w:t>第一条、协议约定的内容</w:t>
      </w:r>
    </w:p>
    <w:p w14:paraId="03AE6150">
      <w:pPr>
        <w:keepNext w:val="0"/>
        <w:keepLines w:val="0"/>
        <w:pageBreakBefore w:val="0"/>
        <w:widowControl w:val="0"/>
        <w:kinsoku/>
        <w:wordWrap/>
        <w:overflowPunct/>
        <w:topLinePunct w:val="0"/>
        <w:autoSpaceDE w:val="0"/>
        <w:autoSpaceDN w:val="0"/>
        <w:bidi w:val="0"/>
        <w:adjustRightInd w:val="0"/>
        <w:snapToGrid w:val="0"/>
        <w:spacing w:line="560" w:lineRule="exact"/>
        <w:ind w:left="600"/>
        <w:textAlignment w:val="baseline"/>
        <w:rPr>
          <w:rFonts w:hint="eastAsia" w:ascii="仿宋" w:hAnsi="仿宋" w:eastAsia="仿宋" w:cs="仿宋"/>
          <w:color w:val="auto"/>
          <w:sz w:val="32"/>
          <w:szCs w:val="32"/>
        </w:rPr>
      </w:pPr>
      <w:r>
        <w:rPr>
          <w:rFonts w:hint="eastAsia" w:ascii="仿宋" w:hAnsi="仿宋" w:eastAsia="仿宋" w:cs="仿宋"/>
          <w:color w:val="auto"/>
          <w:sz w:val="32"/>
          <w:szCs w:val="32"/>
        </w:rPr>
        <w:t>完成对辖区内道路绿化养护及环卫保洁等工作。</w:t>
      </w:r>
    </w:p>
    <w:p w14:paraId="1917C9A0">
      <w:pPr>
        <w:keepNext w:val="0"/>
        <w:keepLines w:val="0"/>
        <w:pageBreakBefore w:val="0"/>
        <w:widowControl w:val="0"/>
        <w:kinsoku/>
        <w:wordWrap/>
        <w:overflowPunct/>
        <w:topLinePunct w:val="0"/>
        <w:autoSpaceDE w:val="0"/>
        <w:autoSpaceDN w:val="0"/>
        <w:bidi w:val="0"/>
        <w:adjustRightInd w:val="0"/>
        <w:snapToGrid w:val="0"/>
        <w:spacing w:line="560" w:lineRule="exact"/>
        <w:ind w:left="47" w:firstLine="640" w:firstLineChars="200"/>
        <w:textAlignment w:val="baseline"/>
        <w:outlineLvl w:val="1"/>
        <w:rPr>
          <w:rFonts w:hint="eastAsia" w:ascii="仿宋" w:hAnsi="仿宋" w:eastAsia="仿宋" w:cs="仿宋"/>
          <w:color w:val="auto"/>
          <w:sz w:val="32"/>
          <w:szCs w:val="32"/>
        </w:rPr>
      </w:pPr>
      <w:r>
        <w:rPr>
          <w:rFonts w:hint="eastAsia" w:ascii="黑体" w:hAnsi="黑体" w:eastAsia="黑体" w:cs="黑体"/>
          <w:color w:val="auto"/>
          <w:sz w:val="32"/>
          <w:szCs w:val="32"/>
        </w:rPr>
        <w:t>第二条、服务期限</w:t>
      </w:r>
    </w:p>
    <w:p w14:paraId="1C0BAC77">
      <w:pPr>
        <w:keepNext w:val="0"/>
        <w:keepLines w:val="0"/>
        <w:pageBreakBefore w:val="0"/>
        <w:widowControl w:val="0"/>
        <w:kinsoku/>
        <w:wordWrap/>
        <w:overflowPunct/>
        <w:topLinePunct w:val="0"/>
        <w:autoSpaceDE w:val="0"/>
        <w:autoSpaceDN w:val="0"/>
        <w:bidi w:val="0"/>
        <w:adjustRightInd w:val="0"/>
        <w:snapToGrid w:val="0"/>
        <w:spacing w:line="560" w:lineRule="exact"/>
        <w:ind w:left="600"/>
        <w:textAlignment w:val="baseline"/>
        <w:rPr>
          <w:rFonts w:hint="eastAsia" w:ascii="仿宋" w:hAnsi="仿宋" w:eastAsia="仿宋" w:cs="仿宋"/>
          <w:color w:val="auto"/>
          <w:sz w:val="32"/>
          <w:szCs w:val="32"/>
        </w:rPr>
      </w:pPr>
      <w:r>
        <w:rPr>
          <w:rFonts w:hint="eastAsia" w:ascii="仿宋" w:hAnsi="仿宋" w:eastAsia="仿宋" w:cs="仿宋"/>
          <w:color w:val="auto"/>
          <w:sz w:val="32"/>
          <w:szCs w:val="32"/>
          <w:u w:val="single"/>
        </w:rPr>
        <w:t xml:space="preserve">    </w:t>
      </w:r>
      <w:r>
        <w:rPr>
          <w:rFonts w:hint="eastAsia" w:ascii="仿宋" w:hAnsi="仿宋" w:eastAsia="仿宋" w:cs="仿宋"/>
          <w:color w:val="auto"/>
          <w:sz w:val="32"/>
          <w:szCs w:val="32"/>
        </w:rPr>
        <w:t>年</w:t>
      </w:r>
      <w:r>
        <w:rPr>
          <w:rFonts w:hint="eastAsia" w:ascii="仿宋" w:hAnsi="仿宋" w:eastAsia="仿宋" w:cs="仿宋"/>
          <w:color w:val="auto"/>
          <w:sz w:val="32"/>
          <w:szCs w:val="32"/>
          <w:u w:val="single"/>
        </w:rPr>
        <w:t xml:space="preserve">    </w:t>
      </w:r>
      <w:r>
        <w:rPr>
          <w:rFonts w:hint="eastAsia" w:ascii="仿宋" w:hAnsi="仿宋" w:eastAsia="仿宋" w:cs="仿宋"/>
          <w:color w:val="auto"/>
          <w:sz w:val="32"/>
          <w:szCs w:val="32"/>
        </w:rPr>
        <w:t>月</w:t>
      </w:r>
      <w:r>
        <w:rPr>
          <w:rFonts w:hint="eastAsia" w:ascii="仿宋" w:hAnsi="仿宋" w:eastAsia="仿宋" w:cs="仿宋"/>
          <w:color w:val="auto"/>
          <w:sz w:val="32"/>
          <w:szCs w:val="32"/>
          <w:u w:val="single"/>
        </w:rPr>
        <w:t xml:space="preserve">    </w:t>
      </w:r>
      <w:r>
        <w:rPr>
          <w:rFonts w:hint="eastAsia" w:ascii="仿宋" w:hAnsi="仿宋" w:eastAsia="仿宋" w:cs="仿宋"/>
          <w:color w:val="auto"/>
          <w:sz w:val="32"/>
          <w:szCs w:val="32"/>
        </w:rPr>
        <w:t>日到</w:t>
      </w:r>
      <w:r>
        <w:rPr>
          <w:rFonts w:hint="eastAsia" w:ascii="仿宋" w:hAnsi="仿宋" w:eastAsia="仿宋" w:cs="仿宋"/>
          <w:color w:val="auto"/>
          <w:sz w:val="32"/>
          <w:szCs w:val="32"/>
          <w:u w:val="single"/>
        </w:rPr>
        <w:t xml:space="preserve">    </w:t>
      </w:r>
      <w:r>
        <w:rPr>
          <w:rFonts w:hint="eastAsia" w:ascii="仿宋" w:hAnsi="仿宋" w:eastAsia="仿宋" w:cs="仿宋"/>
          <w:color w:val="auto"/>
          <w:sz w:val="32"/>
          <w:szCs w:val="32"/>
        </w:rPr>
        <w:t>年</w:t>
      </w:r>
      <w:r>
        <w:rPr>
          <w:rFonts w:hint="eastAsia" w:ascii="仿宋" w:hAnsi="仿宋" w:eastAsia="仿宋" w:cs="仿宋"/>
          <w:color w:val="auto"/>
          <w:sz w:val="32"/>
          <w:szCs w:val="32"/>
          <w:u w:val="single"/>
        </w:rPr>
        <w:t xml:space="preserve">    </w:t>
      </w:r>
      <w:r>
        <w:rPr>
          <w:rFonts w:hint="eastAsia" w:ascii="仿宋" w:hAnsi="仿宋" w:eastAsia="仿宋" w:cs="仿宋"/>
          <w:color w:val="auto"/>
          <w:sz w:val="32"/>
          <w:szCs w:val="32"/>
        </w:rPr>
        <w:t>月</w:t>
      </w:r>
      <w:r>
        <w:rPr>
          <w:rFonts w:hint="eastAsia" w:ascii="仿宋" w:hAnsi="仿宋" w:eastAsia="仿宋" w:cs="仿宋"/>
          <w:color w:val="auto"/>
          <w:sz w:val="32"/>
          <w:szCs w:val="32"/>
          <w:u w:val="single"/>
        </w:rPr>
        <w:t xml:space="preserve">    </w:t>
      </w:r>
      <w:r>
        <w:rPr>
          <w:rFonts w:hint="eastAsia" w:ascii="仿宋" w:hAnsi="仿宋" w:eastAsia="仿宋" w:cs="仿宋"/>
          <w:color w:val="auto"/>
          <w:sz w:val="32"/>
          <w:szCs w:val="32"/>
        </w:rPr>
        <w:t>日。</w:t>
      </w:r>
    </w:p>
    <w:p w14:paraId="06E410D9">
      <w:pPr>
        <w:keepNext w:val="0"/>
        <w:keepLines w:val="0"/>
        <w:pageBreakBefore w:val="0"/>
        <w:widowControl w:val="0"/>
        <w:kinsoku/>
        <w:wordWrap/>
        <w:overflowPunct/>
        <w:topLinePunct w:val="0"/>
        <w:autoSpaceDE w:val="0"/>
        <w:autoSpaceDN w:val="0"/>
        <w:bidi w:val="0"/>
        <w:adjustRightInd w:val="0"/>
        <w:snapToGrid w:val="0"/>
        <w:spacing w:line="560" w:lineRule="exact"/>
        <w:ind w:left="47" w:firstLine="640" w:firstLineChars="200"/>
        <w:textAlignment w:val="baseline"/>
        <w:outlineLvl w:val="1"/>
        <w:rPr>
          <w:rFonts w:hint="eastAsia" w:ascii="黑体" w:hAnsi="黑体" w:eastAsia="黑体" w:cs="黑体"/>
          <w:color w:val="auto"/>
          <w:sz w:val="32"/>
          <w:szCs w:val="32"/>
        </w:rPr>
      </w:pPr>
      <w:r>
        <w:rPr>
          <w:rFonts w:hint="eastAsia" w:ascii="黑体" w:hAnsi="黑体" w:eastAsia="黑体" w:cs="黑体"/>
          <w:color w:val="auto"/>
          <w:sz w:val="32"/>
          <w:szCs w:val="32"/>
        </w:rPr>
        <w:t>第三条、服务范围</w:t>
      </w:r>
    </w:p>
    <w:p w14:paraId="76671079">
      <w:pPr>
        <w:keepNext w:val="0"/>
        <w:keepLines w:val="0"/>
        <w:pageBreakBefore w:val="0"/>
        <w:widowControl w:val="0"/>
        <w:kinsoku/>
        <w:wordWrap/>
        <w:overflowPunct/>
        <w:topLinePunct w:val="0"/>
        <w:autoSpaceDE w:val="0"/>
        <w:autoSpaceDN w:val="0"/>
        <w:bidi w:val="0"/>
        <w:adjustRightInd w:val="0"/>
        <w:snapToGrid w:val="0"/>
        <w:spacing w:line="560" w:lineRule="exact"/>
        <w:ind w:left="600"/>
        <w:textAlignment w:val="baseline"/>
        <w:rPr>
          <w:rFonts w:hint="eastAsia" w:ascii="仿宋" w:hAnsi="仿宋" w:eastAsia="仿宋" w:cs="仿宋"/>
          <w:color w:val="auto"/>
          <w:sz w:val="32"/>
          <w:szCs w:val="32"/>
        </w:rPr>
      </w:pPr>
      <w:r>
        <w:rPr>
          <w:rFonts w:hint="eastAsia" w:ascii="仿宋" w:hAnsi="仿宋" w:eastAsia="仿宋" w:cs="仿宋"/>
          <w:color w:val="auto"/>
          <w:sz w:val="32"/>
          <w:szCs w:val="32"/>
        </w:rPr>
        <w:t>1、</w:t>
      </w:r>
      <w:r>
        <w:rPr>
          <w:rFonts w:hint="eastAsia" w:ascii="仿宋" w:hAnsi="仿宋" w:eastAsia="仿宋" w:cs="仿宋"/>
          <w:color w:val="auto"/>
          <w:spacing w:val="-6"/>
          <w:sz w:val="32"/>
          <w:szCs w:val="32"/>
        </w:rPr>
        <w:t>清扫保洁范围：</w:t>
      </w:r>
      <w:r>
        <w:rPr>
          <w:rFonts w:hint="eastAsia" w:ascii="仿宋" w:hAnsi="仿宋" w:eastAsia="仿宋" w:cs="仿宋"/>
          <w:color w:val="auto"/>
          <w:sz w:val="32"/>
          <w:szCs w:val="32"/>
          <w:lang w:val="en-US" w:eastAsia="zh-CN"/>
        </w:rPr>
        <w:t>五星</w:t>
      </w:r>
      <w:r>
        <w:rPr>
          <w:rFonts w:hint="eastAsia" w:ascii="仿宋" w:hAnsi="仿宋" w:eastAsia="仿宋" w:cs="仿宋"/>
          <w:color w:val="auto"/>
          <w:sz w:val="32"/>
          <w:szCs w:val="32"/>
        </w:rPr>
        <w:t>街道辖区全域</w:t>
      </w:r>
    </w:p>
    <w:p w14:paraId="6AEFE246">
      <w:pPr>
        <w:keepNext w:val="0"/>
        <w:keepLines w:val="0"/>
        <w:pageBreakBefore w:val="0"/>
        <w:widowControl w:val="0"/>
        <w:kinsoku/>
        <w:wordWrap/>
        <w:overflowPunct/>
        <w:topLinePunct w:val="0"/>
        <w:autoSpaceDE w:val="0"/>
        <w:autoSpaceDN w:val="0"/>
        <w:bidi w:val="0"/>
        <w:adjustRightInd w:val="0"/>
        <w:snapToGrid w:val="0"/>
        <w:spacing w:line="560" w:lineRule="exact"/>
        <w:ind w:firstLine="592" w:firstLineChars="200"/>
        <w:textAlignment w:val="baseline"/>
        <w:rPr>
          <w:rFonts w:hint="eastAsia" w:ascii="仿宋" w:hAnsi="仿宋" w:eastAsia="仿宋" w:cs="仿宋"/>
          <w:color w:val="auto"/>
          <w:sz w:val="32"/>
          <w:szCs w:val="32"/>
        </w:rPr>
      </w:pPr>
      <w:r>
        <w:rPr>
          <w:rFonts w:hint="eastAsia" w:ascii="仿宋" w:hAnsi="仿宋" w:eastAsia="仿宋" w:cs="仿宋"/>
          <w:color w:val="auto"/>
          <w:spacing w:val="-12"/>
          <w:sz w:val="32"/>
          <w:szCs w:val="32"/>
        </w:rPr>
        <w:t>2、公</w:t>
      </w:r>
      <w:r>
        <w:rPr>
          <w:rFonts w:hint="eastAsia" w:ascii="仿宋" w:hAnsi="仿宋" w:eastAsia="仿宋" w:cs="仿宋"/>
          <w:color w:val="auto"/>
          <w:spacing w:val="-7"/>
          <w:sz w:val="32"/>
          <w:szCs w:val="32"/>
        </w:rPr>
        <w:t>厕</w:t>
      </w:r>
      <w:r>
        <w:rPr>
          <w:rFonts w:hint="eastAsia" w:ascii="仿宋" w:hAnsi="仿宋" w:eastAsia="仿宋" w:cs="仿宋"/>
          <w:color w:val="auto"/>
          <w:spacing w:val="-6"/>
          <w:sz w:val="32"/>
          <w:szCs w:val="32"/>
        </w:rPr>
        <w:t>管理范围：</w:t>
      </w:r>
      <w:r>
        <w:rPr>
          <w:rFonts w:hint="eastAsia" w:ascii="仿宋" w:hAnsi="仿宋" w:eastAsia="仿宋" w:cs="仿宋"/>
          <w:color w:val="auto"/>
          <w:sz w:val="32"/>
          <w:szCs w:val="32"/>
          <w:lang w:val="en-US" w:eastAsia="zh-CN"/>
        </w:rPr>
        <w:t>五星</w:t>
      </w:r>
      <w:r>
        <w:rPr>
          <w:rFonts w:hint="eastAsia" w:ascii="仿宋" w:hAnsi="仿宋" w:eastAsia="仿宋" w:cs="仿宋"/>
          <w:color w:val="auto"/>
          <w:sz w:val="32"/>
          <w:szCs w:val="32"/>
        </w:rPr>
        <w:t>街道办辖区内共</w:t>
      </w:r>
      <w:r>
        <w:rPr>
          <w:rFonts w:hint="eastAsia" w:ascii="仿宋" w:hAnsi="仿宋" w:eastAsia="仿宋" w:cs="仿宋"/>
          <w:color w:val="auto"/>
          <w:sz w:val="32"/>
          <w:szCs w:val="32"/>
          <w:lang w:val="en-US" w:eastAsia="zh-CN"/>
        </w:rPr>
        <w:t>12</w:t>
      </w:r>
      <w:r>
        <w:rPr>
          <w:rFonts w:hint="eastAsia" w:ascii="仿宋" w:hAnsi="仿宋" w:eastAsia="仿宋" w:cs="仿宋"/>
          <w:color w:val="auto"/>
          <w:sz w:val="32"/>
          <w:szCs w:val="32"/>
        </w:rPr>
        <w:t>座，维护级别为</w:t>
      </w:r>
      <w:r>
        <w:rPr>
          <w:rFonts w:hint="eastAsia" w:ascii="仿宋" w:hAnsi="仿宋" w:eastAsia="仿宋" w:cs="仿宋"/>
          <w:color w:val="auto"/>
          <w:sz w:val="32"/>
          <w:szCs w:val="32"/>
          <w:lang w:val="en-US" w:eastAsia="zh-CN"/>
        </w:rPr>
        <w:t>二</w:t>
      </w:r>
      <w:r>
        <w:rPr>
          <w:rFonts w:hint="eastAsia" w:ascii="仿宋" w:hAnsi="仿宋" w:eastAsia="仿宋" w:cs="仿宋"/>
          <w:color w:val="auto"/>
          <w:sz w:val="32"/>
          <w:szCs w:val="32"/>
        </w:rPr>
        <w:t>类</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三类</w:t>
      </w:r>
      <w:r>
        <w:rPr>
          <w:rFonts w:hint="eastAsia" w:ascii="仿宋" w:hAnsi="仿宋" w:eastAsia="仿宋" w:cs="仿宋"/>
          <w:color w:val="auto"/>
          <w:sz w:val="32"/>
          <w:szCs w:val="32"/>
        </w:rPr>
        <w:t>。</w:t>
      </w:r>
    </w:p>
    <w:tbl>
      <w:tblPr>
        <w:tblStyle w:val="7"/>
        <w:tblW w:w="5036" w:type="pct"/>
        <w:tblInd w:w="0" w:type="dxa"/>
        <w:tblLayout w:type="autofit"/>
        <w:tblCellMar>
          <w:top w:w="0" w:type="dxa"/>
          <w:left w:w="108" w:type="dxa"/>
          <w:bottom w:w="0" w:type="dxa"/>
          <w:right w:w="108" w:type="dxa"/>
        </w:tblCellMar>
      </w:tblPr>
      <w:tblGrid>
        <w:gridCol w:w="856"/>
        <w:gridCol w:w="2498"/>
        <w:gridCol w:w="2348"/>
        <w:gridCol w:w="1361"/>
        <w:gridCol w:w="2296"/>
      </w:tblGrid>
      <w:tr w14:paraId="6F27F7C7">
        <w:tblPrEx>
          <w:tblCellMar>
            <w:top w:w="0" w:type="dxa"/>
            <w:left w:w="108" w:type="dxa"/>
            <w:bottom w:w="0" w:type="dxa"/>
            <w:right w:w="108" w:type="dxa"/>
          </w:tblCellMar>
        </w:tblPrEx>
        <w:trPr>
          <w:trHeight w:val="790" w:hRule="atLeast"/>
        </w:trPr>
        <w:tc>
          <w:tcPr>
            <w:tcW w:w="450" w:type="pct"/>
            <w:tcBorders>
              <w:top w:val="single" w:color="000000" w:sz="4" w:space="0"/>
              <w:left w:val="single" w:color="000000" w:sz="4" w:space="0"/>
              <w:bottom w:val="single" w:color="000000" w:sz="4" w:space="0"/>
              <w:right w:val="single" w:color="000000" w:sz="4" w:space="0"/>
            </w:tcBorders>
            <w:noWrap/>
            <w:vAlign w:val="center"/>
          </w:tcPr>
          <w:p w14:paraId="0FC87C10">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黑体" w:hAnsi="黑体" w:eastAsia="黑体" w:cs="黑体"/>
                <w:sz w:val="32"/>
                <w:szCs w:val="32"/>
                <w:lang w:bidi="ar"/>
              </w:rPr>
            </w:pPr>
            <w:r>
              <w:rPr>
                <w:rFonts w:hint="eastAsia" w:ascii="黑体" w:hAnsi="黑体" w:eastAsia="黑体" w:cs="黑体"/>
                <w:sz w:val="32"/>
                <w:szCs w:val="32"/>
                <w:lang w:bidi="ar"/>
              </w:rPr>
              <w:t>序号</w:t>
            </w:r>
          </w:p>
        </w:tc>
        <w:tc>
          <w:tcPr>
            <w:tcW w:w="1347" w:type="pct"/>
            <w:tcBorders>
              <w:top w:val="single" w:color="000000" w:sz="4" w:space="0"/>
              <w:left w:val="single" w:color="000000" w:sz="4" w:space="0"/>
              <w:bottom w:val="single" w:color="000000" w:sz="4" w:space="0"/>
              <w:right w:val="single" w:color="000000" w:sz="4" w:space="0"/>
            </w:tcBorders>
            <w:noWrap/>
            <w:vAlign w:val="center"/>
          </w:tcPr>
          <w:p w14:paraId="194C2331">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黑体" w:hAnsi="黑体" w:eastAsia="黑体" w:cs="黑体"/>
                <w:sz w:val="32"/>
                <w:szCs w:val="32"/>
                <w:lang w:bidi="ar"/>
              </w:rPr>
            </w:pPr>
            <w:r>
              <w:rPr>
                <w:rFonts w:hint="eastAsia" w:ascii="黑体" w:hAnsi="黑体" w:eastAsia="黑体" w:cs="黑体"/>
                <w:sz w:val="32"/>
                <w:szCs w:val="32"/>
                <w:lang w:bidi="ar"/>
              </w:rPr>
              <w:t>公厕名称</w:t>
            </w:r>
          </w:p>
        </w:tc>
        <w:tc>
          <w:tcPr>
            <w:tcW w:w="1266" w:type="pct"/>
            <w:tcBorders>
              <w:top w:val="single" w:color="000000" w:sz="4" w:space="0"/>
              <w:left w:val="single" w:color="000000" w:sz="4" w:space="0"/>
              <w:bottom w:val="single" w:color="000000" w:sz="4" w:space="0"/>
              <w:right w:val="nil"/>
            </w:tcBorders>
            <w:noWrap/>
            <w:vAlign w:val="center"/>
          </w:tcPr>
          <w:p w14:paraId="18EEDD2E">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黑体" w:hAnsi="黑体" w:eastAsia="黑体" w:cs="黑体"/>
                <w:sz w:val="32"/>
                <w:szCs w:val="32"/>
                <w:lang w:bidi="ar"/>
              </w:rPr>
            </w:pPr>
            <w:r>
              <w:rPr>
                <w:rFonts w:hint="eastAsia" w:ascii="黑体" w:hAnsi="黑体" w:eastAsia="黑体" w:cs="黑体"/>
                <w:sz w:val="32"/>
                <w:szCs w:val="32"/>
                <w:lang w:bidi="ar"/>
              </w:rPr>
              <w:t>具体位置</w:t>
            </w:r>
          </w:p>
        </w:tc>
        <w:tc>
          <w:tcPr>
            <w:tcW w:w="739" w:type="pct"/>
            <w:tcBorders>
              <w:top w:val="single" w:color="000000" w:sz="4" w:space="0"/>
              <w:left w:val="single" w:color="000000" w:sz="4" w:space="0"/>
              <w:bottom w:val="single" w:color="000000" w:sz="4" w:space="0"/>
              <w:right w:val="single" w:color="000000" w:sz="4" w:space="0"/>
            </w:tcBorders>
            <w:noWrap/>
            <w:vAlign w:val="center"/>
          </w:tcPr>
          <w:p w14:paraId="1EA7E10A">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黑体" w:hAnsi="黑体" w:eastAsia="黑体" w:cs="黑体"/>
                <w:sz w:val="32"/>
                <w:szCs w:val="32"/>
                <w:lang w:bidi="ar"/>
              </w:rPr>
            </w:pPr>
            <w:r>
              <w:rPr>
                <w:rFonts w:hint="eastAsia" w:ascii="黑体" w:hAnsi="黑体" w:eastAsia="黑体" w:cs="黑体"/>
                <w:sz w:val="32"/>
                <w:szCs w:val="32"/>
                <w:lang w:bidi="ar"/>
              </w:rPr>
              <w:t>类别</w:t>
            </w:r>
          </w:p>
        </w:tc>
        <w:tc>
          <w:tcPr>
            <w:tcW w:w="1196" w:type="pct"/>
            <w:tcBorders>
              <w:top w:val="single" w:color="000000" w:sz="4" w:space="0"/>
              <w:left w:val="nil"/>
              <w:bottom w:val="single" w:color="000000" w:sz="4" w:space="0"/>
              <w:right w:val="single" w:color="000000" w:sz="4" w:space="0"/>
            </w:tcBorders>
            <w:noWrap/>
            <w:vAlign w:val="center"/>
          </w:tcPr>
          <w:p w14:paraId="2971005F">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黑体" w:hAnsi="黑体" w:eastAsia="黑体" w:cs="黑体"/>
                <w:sz w:val="32"/>
                <w:szCs w:val="32"/>
                <w:lang w:bidi="ar"/>
              </w:rPr>
            </w:pPr>
            <w:r>
              <w:rPr>
                <w:rFonts w:hint="eastAsia" w:ascii="黑体" w:hAnsi="黑体" w:eastAsia="黑体" w:cs="黑体"/>
                <w:sz w:val="32"/>
                <w:szCs w:val="32"/>
                <w:lang w:bidi="ar"/>
              </w:rPr>
              <w:t>类型土建/移动</w:t>
            </w:r>
          </w:p>
        </w:tc>
      </w:tr>
      <w:tr w14:paraId="552416F5">
        <w:tblPrEx>
          <w:tblCellMar>
            <w:top w:w="0" w:type="dxa"/>
            <w:left w:w="108" w:type="dxa"/>
            <w:bottom w:w="0" w:type="dxa"/>
            <w:right w:w="108" w:type="dxa"/>
          </w:tblCellMar>
        </w:tblPrEx>
        <w:trPr>
          <w:trHeight w:val="90" w:hRule="atLeast"/>
        </w:trPr>
        <w:tc>
          <w:tcPr>
            <w:tcW w:w="450" w:type="pct"/>
            <w:tcBorders>
              <w:top w:val="single" w:color="000000" w:sz="4" w:space="0"/>
              <w:left w:val="single" w:color="000000" w:sz="4" w:space="0"/>
              <w:bottom w:val="single" w:color="000000" w:sz="4" w:space="0"/>
              <w:right w:val="single" w:color="000000" w:sz="4" w:space="0"/>
            </w:tcBorders>
            <w:noWrap/>
            <w:vAlign w:val="center"/>
          </w:tcPr>
          <w:p w14:paraId="6B598121">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1</w:t>
            </w:r>
          </w:p>
        </w:tc>
        <w:tc>
          <w:tcPr>
            <w:tcW w:w="1347" w:type="pct"/>
            <w:tcBorders>
              <w:top w:val="single" w:color="000000" w:sz="4" w:space="0"/>
              <w:left w:val="single" w:color="000000" w:sz="4" w:space="0"/>
              <w:bottom w:val="single" w:color="000000" w:sz="4" w:space="0"/>
              <w:right w:val="single" w:color="000000" w:sz="4" w:space="0"/>
            </w:tcBorders>
            <w:vAlign w:val="center"/>
          </w:tcPr>
          <w:p w14:paraId="63BBC84C">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五星街办公厕</w:t>
            </w:r>
          </w:p>
        </w:tc>
        <w:tc>
          <w:tcPr>
            <w:tcW w:w="1266" w:type="pct"/>
            <w:tcBorders>
              <w:top w:val="single" w:color="000000" w:sz="4" w:space="0"/>
              <w:left w:val="single" w:color="000000" w:sz="4" w:space="0"/>
              <w:bottom w:val="single" w:color="000000" w:sz="4" w:space="0"/>
              <w:right w:val="single" w:color="000000" w:sz="4" w:space="0"/>
            </w:tcBorders>
            <w:vAlign w:val="center"/>
          </w:tcPr>
          <w:p w14:paraId="35FFE872">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西五路</w:t>
            </w:r>
          </w:p>
        </w:tc>
        <w:tc>
          <w:tcPr>
            <w:tcW w:w="739" w:type="pct"/>
            <w:tcBorders>
              <w:top w:val="single" w:color="000000" w:sz="4" w:space="0"/>
              <w:left w:val="single" w:color="000000" w:sz="4" w:space="0"/>
              <w:bottom w:val="single" w:color="000000" w:sz="4" w:space="0"/>
              <w:right w:val="single" w:color="000000" w:sz="4" w:space="0"/>
            </w:tcBorders>
            <w:noWrap/>
            <w:vAlign w:val="center"/>
          </w:tcPr>
          <w:p w14:paraId="35853947">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三类</w:t>
            </w:r>
          </w:p>
        </w:tc>
        <w:tc>
          <w:tcPr>
            <w:tcW w:w="1196" w:type="pct"/>
            <w:tcBorders>
              <w:top w:val="single" w:color="000000" w:sz="4" w:space="0"/>
              <w:left w:val="single" w:color="000000" w:sz="4" w:space="0"/>
              <w:bottom w:val="single" w:color="000000" w:sz="4" w:space="0"/>
              <w:right w:val="single" w:color="000000" w:sz="4" w:space="0"/>
            </w:tcBorders>
            <w:vAlign w:val="center"/>
          </w:tcPr>
          <w:p w14:paraId="52F326CB">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土建</w:t>
            </w:r>
          </w:p>
        </w:tc>
      </w:tr>
      <w:tr w14:paraId="23D698D9">
        <w:tblPrEx>
          <w:tblCellMar>
            <w:top w:w="0" w:type="dxa"/>
            <w:left w:w="108" w:type="dxa"/>
            <w:bottom w:w="0" w:type="dxa"/>
            <w:right w:w="108" w:type="dxa"/>
          </w:tblCellMar>
        </w:tblPrEx>
        <w:trPr>
          <w:trHeight w:val="560" w:hRule="atLeast"/>
        </w:trPr>
        <w:tc>
          <w:tcPr>
            <w:tcW w:w="450" w:type="pct"/>
            <w:tcBorders>
              <w:top w:val="single" w:color="000000" w:sz="4" w:space="0"/>
              <w:left w:val="single" w:color="000000" w:sz="4" w:space="0"/>
              <w:bottom w:val="single" w:color="000000" w:sz="4" w:space="0"/>
              <w:right w:val="single" w:color="000000" w:sz="4" w:space="0"/>
            </w:tcBorders>
            <w:noWrap/>
            <w:vAlign w:val="center"/>
          </w:tcPr>
          <w:p w14:paraId="64918D58">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2</w:t>
            </w:r>
          </w:p>
        </w:tc>
        <w:tc>
          <w:tcPr>
            <w:tcW w:w="1347" w:type="pct"/>
            <w:tcBorders>
              <w:top w:val="single" w:color="000000" w:sz="4" w:space="0"/>
              <w:left w:val="single" w:color="000000" w:sz="4" w:space="0"/>
              <w:bottom w:val="single" w:color="000000" w:sz="4" w:space="0"/>
              <w:right w:val="single" w:color="000000" w:sz="4" w:space="0"/>
            </w:tcBorders>
            <w:vAlign w:val="center"/>
          </w:tcPr>
          <w:p w14:paraId="3EE848BA">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五星街道公厕</w:t>
            </w:r>
          </w:p>
        </w:tc>
        <w:tc>
          <w:tcPr>
            <w:tcW w:w="1266" w:type="pct"/>
            <w:tcBorders>
              <w:top w:val="single" w:color="000000" w:sz="4" w:space="0"/>
              <w:left w:val="single" w:color="000000" w:sz="4" w:space="0"/>
              <w:bottom w:val="single" w:color="000000" w:sz="4" w:space="0"/>
              <w:right w:val="single" w:color="000000" w:sz="4" w:space="0"/>
            </w:tcBorders>
            <w:vAlign w:val="center"/>
          </w:tcPr>
          <w:p w14:paraId="703AE6A7">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eastAsia="zh-CN"/>
              </w:rPr>
            </w:pPr>
            <w:r>
              <w:rPr>
                <w:rFonts w:hint="eastAsia" w:ascii="仿宋" w:hAnsi="仿宋" w:eastAsia="仿宋" w:cs="仿宋"/>
                <w:sz w:val="32"/>
                <w:szCs w:val="32"/>
                <w:lang w:val="en-US" w:eastAsia="zh-CN" w:bidi="ar"/>
              </w:rPr>
              <w:t>灵和路</w:t>
            </w:r>
          </w:p>
        </w:tc>
        <w:tc>
          <w:tcPr>
            <w:tcW w:w="739" w:type="pct"/>
            <w:tcBorders>
              <w:top w:val="single" w:color="000000" w:sz="4" w:space="0"/>
              <w:left w:val="single" w:color="000000" w:sz="4" w:space="0"/>
              <w:bottom w:val="single" w:color="000000" w:sz="4" w:space="0"/>
              <w:right w:val="single" w:color="000000" w:sz="4" w:space="0"/>
            </w:tcBorders>
            <w:noWrap/>
            <w:vAlign w:val="center"/>
          </w:tcPr>
          <w:p w14:paraId="1EAF81C4">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三类</w:t>
            </w:r>
          </w:p>
        </w:tc>
        <w:tc>
          <w:tcPr>
            <w:tcW w:w="1196" w:type="pct"/>
            <w:tcBorders>
              <w:top w:val="single" w:color="000000" w:sz="4" w:space="0"/>
              <w:left w:val="single" w:color="000000" w:sz="4" w:space="0"/>
              <w:bottom w:val="single" w:color="000000" w:sz="4" w:space="0"/>
              <w:right w:val="single" w:color="000000" w:sz="4" w:space="0"/>
            </w:tcBorders>
            <w:vAlign w:val="center"/>
          </w:tcPr>
          <w:p w14:paraId="4E1201A9">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土建</w:t>
            </w:r>
          </w:p>
        </w:tc>
      </w:tr>
      <w:tr w14:paraId="5E11A639">
        <w:tblPrEx>
          <w:tblCellMar>
            <w:top w:w="0" w:type="dxa"/>
            <w:left w:w="108" w:type="dxa"/>
            <w:bottom w:w="0" w:type="dxa"/>
            <w:right w:w="108" w:type="dxa"/>
          </w:tblCellMar>
        </w:tblPrEx>
        <w:trPr>
          <w:trHeight w:val="560" w:hRule="atLeast"/>
        </w:trPr>
        <w:tc>
          <w:tcPr>
            <w:tcW w:w="450" w:type="pct"/>
            <w:tcBorders>
              <w:top w:val="single" w:color="000000" w:sz="4" w:space="0"/>
              <w:left w:val="single" w:color="000000" w:sz="4" w:space="0"/>
              <w:bottom w:val="single" w:color="000000" w:sz="4" w:space="0"/>
              <w:right w:val="single" w:color="000000" w:sz="4" w:space="0"/>
            </w:tcBorders>
            <w:noWrap/>
            <w:vAlign w:val="center"/>
          </w:tcPr>
          <w:p w14:paraId="7AB2783F">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3</w:t>
            </w:r>
          </w:p>
        </w:tc>
        <w:tc>
          <w:tcPr>
            <w:tcW w:w="1347" w:type="pct"/>
            <w:tcBorders>
              <w:top w:val="single" w:color="000000" w:sz="4" w:space="0"/>
              <w:left w:val="single" w:color="000000" w:sz="4" w:space="0"/>
              <w:bottom w:val="single" w:color="000000" w:sz="4" w:space="0"/>
              <w:right w:val="single" w:color="000000" w:sz="4" w:space="0"/>
            </w:tcBorders>
            <w:vAlign w:val="center"/>
          </w:tcPr>
          <w:p w14:paraId="2BBC0AAA">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val="en-US" w:eastAsia="zh-CN"/>
              </w:rPr>
            </w:pPr>
            <w:r>
              <w:rPr>
                <w:rFonts w:hint="eastAsia" w:ascii="仿宋" w:hAnsi="仿宋" w:eastAsia="仿宋" w:cs="仿宋"/>
                <w:sz w:val="32"/>
                <w:szCs w:val="32"/>
                <w:lang w:bidi="ar"/>
              </w:rPr>
              <w:t>润丰路东公</w:t>
            </w:r>
            <w:r>
              <w:rPr>
                <w:rFonts w:hint="eastAsia" w:ascii="仿宋" w:hAnsi="仿宋" w:eastAsia="仿宋" w:cs="仿宋"/>
                <w:sz w:val="32"/>
                <w:szCs w:val="32"/>
                <w:lang w:val="en-US" w:eastAsia="zh-CN" w:bidi="ar"/>
              </w:rPr>
              <w:t>厕</w:t>
            </w:r>
          </w:p>
        </w:tc>
        <w:tc>
          <w:tcPr>
            <w:tcW w:w="1266" w:type="pct"/>
            <w:tcBorders>
              <w:top w:val="single" w:color="000000" w:sz="4" w:space="0"/>
              <w:left w:val="single" w:color="000000" w:sz="4" w:space="0"/>
              <w:bottom w:val="single" w:color="000000" w:sz="4" w:space="0"/>
              <w:right w:val="single" w:color="000000" w:sz="4" w:space="0"/>
            </w:tcBorders>
            <w:vAlign w:val="center"/>
          </w:tcPr>
          <w:p w14:paraId="67F1E64F">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bidi="ar"/>
              </w:rPr>
              <w:t>润丰路东段</w:t>
            </w:r>
          </w:p>
        </w:tc>
        <w:tc>
          <w:tcPr>
            <w:tcW w:w="739" w:type="pct"/>
            <w:tcBorders>
              <w:top w:val="single" w:color="000000" w:sz="4" w:space="0"/>
              <w:left w:val="single" w:color="000000" w:sz="4" w:space="0"/>
              <w:bottom w:val="single" w:color="000000" w:sz="4" w:space="0"/>
              <w:right w:val="single" w:color="000000" w:sz="4" w:space="0"/>
            </w:tcBorders>
            <w:noWrap/>
            <w:vAlign w:val="center"/>
          </w:tcPr>
          <w:p w14:paraId="461D5AA3">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三类</w:t>
            </w:r>
          </w:p>
        </w:tc>
        <w:tc>
          <w:tcPr>
            <w:tcW w:w="1196" w:type="pct"/>
            <w:tcBorders>
              <w:top w:val="single" w:color="000000" w:sz="4" w:space="0"/>
              <w:left w:val="single" w:color="000000" w:sz="4" w:space="0"/>
              <w:bottom w:val="single" w:color="000000" w:sz="4" w:space="0"/>
              <w:right w:val="single" w:color="000000" w:sz="4" w:space="0"/>
            </w:tcBorders>
            <w:vAlign w:val="center"/>
          </w:tcPr>
          <w:p w14:paraId="6F2AF54E">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土建</w:t>
            </w:r>
          </w:p>
        </w:tc>
      </w:tr>
      <w:tr w14:paraId="57422766">
        <w:tblPrEx>
          <w:tblCellMar>
            <w:top w:w="0" w:type="dxa"/>
            <w:left w:w="108" w:type="dxa"/>
            <w:bottom w:w="0" w:type="dxa"/>
            <w:right w:w="108" w:type="dxa"/>
          </w:tblCellMar>
        </w:tblPrEx>
        <w:trPr>
          <w:trHeight w:val="560" w:hRule="atLeast"/>
        </w:trPr>
        <w:tc>
          <w:tcPr>
            <w:tcW w:w="450" w:type="pct"/>
            <w:tcBorders>
              <w:top w:val="single" w:color="000000" w:sz="4" w:space="0"/>
              <w:left w:val="single" w:color="000000" w:sz="4" w:space="0"/>
              <w:bottom w:val="single" w:color="000000" w:sz="4" w:space="0"/>
              <w:right w:val="single" w:color="000000" w:sz="4" w:space="0"/>
            </w:tcBorders>
            <w:noWrap/>
            <w:vAlign w:val="center"/>
          </w:tcPr>
          <w:p w14:paraId="6622C055">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4</w:t>
            </w:r>
          </w:p>
        </w:tc>
        <w:tc>
          <w:tcPr>
            <w:tcW w:w="1347" w:type="pct"/>
            <w:tcBorders>
              <w:top w:val="single" w:color="000000" w:sz="4" w:space="0"/>
              <w:left w:val="single" w:color="000000" w:sz="4" w:space="0"/>
              <w:bottom w:val="single" w:color="000000" w:sz="4" w:space="0"/>
              <w:right w:val="single" w:color="000000" w:sz="4" w:space="0"/>
            </w:tcBorders>
            <w:vAlign w:val="center"/>
          </w:tcPr>
          <w:p w14:paraId="5E395EBC">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润丰路西公厕</w:t>
            </w:r>
          </w:p>
        </w:tc>
        <w:tc>
          <w:tcPr>
            <w:tcW w:w="1266" w:type="pct"/>
            <w:tcBorders>
              <w:top w:val="single" w:color="000000" w:sz="4" w:space="0"/>
              <w:left w:val="single" w:color="000000" w:sz="4" w:space="0"/>
              <w:bottom w:val="single" w:color="000000" w:sz="4" w:space="0"/>
              <w:right w:val="single" w:color="000000" w:sz="4" w:space="0"/>
            </w:tcBorders>
            <w:vAlign w:val="center"/>
          </w:tcPr>
          <w:p w14:paraId="59F434AD">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bidi="ar"/>
              </w:rPr>
              <w:t>润丰路西段</w:t>
            </w:r>
          </w:p>
        </w:tc>
        <w:tc>
          <w:tcPr>
            <w:tcW w:w="739" w:type="pct"/>
            <w:tcBorders>
              <w:top w:val="single" w:color="000000" w:sz="4" w:space="0"/>
              <w:left w:val="single" w:color="000000" w:sz="4" w:space="0"/>
              <w:bottom w:val="single" w:color="000000" w:sz="4" w:space="0"/>
              <w:right w:val="single" w:color="000000" w:sz="4" w:space="0"/>
            </w:tcBorders>
            <w:noWrap/>
            <w:vAlign w:val="center"/>
          </w:tcPr>
          <w:p w14:paraId="0895BDA6">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三类</w:t>
            </w:r>
          </w:p>
        </w:tc>
        <w:tc>
          <w:tcPr>
            <w:tcW w:w="1196" w:type="pct"/>
            <w:tcBorders>
              <w:top w:val="single" w:color="000000" w:sz="4" w:space="0"/>
              <w:left w:val="single" w:color="000000" w:sz="4" w:space="0"/>
              <w:bottom w:val="single" w:color="000000" w:sz="4" w:space="0"/>
              <w:right w:val="single" w:color="000000" w:sz="4" w:space="0"/>
            </w:tcBorders>
            <w:vAlign w:val="center"/>
          </w:tcPr>
          <w:p w14:paraId="739932E3">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土建</w:t>
            </w:r>
          </w:p>
        </w:tc>
      </w:tr>
      <w:tr w14:paraId="67FB3DC6">
        <w:tblPrEx>
          <w:tblCellMar>
            <w:top w:w="0" w:type="dxa"/>
            <w:left w:w="108" w:type="dxa"/>
            <w:bottom w:w="0" w:type="dxa"/>
            <w:right w:w="108" w:type="dxa"/>
          </w:tblCellMar>
        </w:tblPrEx>
        <w:trPr>
          <w:trHeight w:val="560" w:hRule="atLeast"/>
        </w:trPr>
        <w:tc>
          <w:tcPr>
            <w:tcW w:w="450" w:type="pct"/>
            <w:tcBorders>
              <w:top w:val="single" w:color="000000" w:sz="4" w:space="0"/>
              <w:left w:val="single" w:color="000000" w:sz="4" w:space="0"/>
              <w:bottom w:val="single" w:color="000000" w:sz="4" w:space="0"/>
              <w:right w:val="single" w:color="000000" w:sz="4" w:space="0"/>
            </w:tcBorders>
            <w:noWrap/>
            <w:vAlign w:val="center"/>
          </w:tcPr>
          <w:p w14:paraId="1FEE547D">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5</w:t>
            </w:r>
          </w:p>
        </w:tc>
        <w:tc>
          <w:tcPr>
            <w:tcW w:w="1347" w:type="pct"/>
            <w:tcBorders>
              <w:top w:val="single" w:color="000000" w:sz="4" w:space="0"/>
              <w:left w:val="single" w:color="000000" w:sz="4" w:space="0"/>
              <w:bottom w:val="single" w:color="000000" w:sz="4" w:space="0"/>
              <w:right w:val="single" w:color="000000" w:sz="4" w:space="0"/>
            </w:tcBorders>
            <w:vAlign w:val="center"/>
          </w:tcPr>
          <w:p w14:paraId="152C107C">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隆丰路公厕</w:t>
            </w:r>
          </w:p>
        </w:tc>
        <w:tc>
          <w:tcPr>
            <w:tcW w:w="1266" w:type="pct"/>
            <w:tcBorders>
              <w:top w:val="single" w:color="000000" w:sz="4" w:space="0"/>
              <w:left w:val="single" w:color="000000" w:sz="4" w:space="0"/>
              <w:bottom w:val="single" w:color="000000" w:sz="4" w:space="0"/>
              <w:right w:val="single" w:color="000000" w:sz="4" w:space="0"/>
            </w:tcBorders>
            <w:vAlign w:val="center"/>
          </w:tcPr>
          <w:p w14:paraId="56812D0D">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bidi="ar"/>
              </w:rPr>
              <w:t>隆丰东北角</w:t>
            </w:r>
          </w:p>
        </w:tc>
        <w:tc>
          <w:tcPr>
            <w:tcW w:w="739" w:type="pct"/>
            <w:tcBorders>
              <w:top w:val="single" w:color="000000" w:sz="4" w:space="0"/>
              <w:left w:val="single" w:color="000000" w:sz="4" w:space="0"/>
              <w:bottom w:val="single" w:color="000000" w:sz="4" w:space="0"/>
              <w:right w:val="single" w:color="000000" w:sz="4" w:space="0"/>
            </w:tcBorders>
            <w:noWrap/>
            <w:vAlign w:val="center"/>
          </w:tcPr>
          <w:p w14:paraId="34AA3AEB">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三类</w:t>
            </w:r>
          </w:p>
        </w:tc>
        <w:tc>
          <w:tcPr>
            <w:tcW w:w="1196" w:type="pct"/>
            <w:tcBorders>
              <w:top w:val="single" w:color="000000" w:sz="4" w:space="0"/>
              <w:left w:val="single" w:color="000000" w:sz="4" w:space="0"/>
              <w:bottom w:val="single" w:color="000000" w:sz="4" w:space="0"/>
              <w:right w:val="single" w:color="000000" w:sz="4" w:space="0"/>
            </w:tcBorders>
            <w:vAlign w:val="center"/>
          </w:tcPr>
          <w:p w14:paraId="01A31221">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土建</w:t>
            </w:r>
          </w:p>
        </w:tc>
      </w:tr>
      <w:tr w14:paraId="315A6FD3">
        <w:tblPrEx>
          <w:tblCellMar>
            <w:top w:w="0" w:type="dxa"/>
            <w:left w:w="108" w:type="dxa"/>
            <w:bottom w:w="0" w:type="dxa"/>
            <w:right w:w="108" w:type="dxa"/>
          </w:tblCellMar>
        </w:tblPrEx>
        <w:trPr>
          <w:trHeight w:val="560" w:hRule="atLeast"/>
        </w:trPr>
        <w:tc>
          <w:tcPr>
            <w:tcW w:w="450" w:type="pct"/>
            <w:tcBorders>
              <w:top w:val="single" w:color="000000" w:sz="4" w:space="0"/>
              <w:left w:val="single" w:color="000000" w:sz="4" w:space="0"/>
              <w:bottom w:val="single" w:color="000000" w:sz="4" w:space="0"/>
              <w:right w:val="single" w:color="000000" w:sz="4" w:space="0"/>
            </w:tcBorders>
            <w:noWrap/>
            <w:vAlign w:val="center"/>
          </w:tcPr>
          <w:p w14:paraId="2C7DC134">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6</w:t>
            </w:r>
          </w:p>
        </w:tc>
        <w:tc>
          <w:tcPr>
            <w:tcW w:w="1347" w:type="pct"/>
            <w:tcBorders>
              <w:top w:val="single" w:color="000000" w:sz="4" w:space="0"/>
              <w:left w:val="single" w:color="000000" w:sz="4" w:space="0"/>
              <w:bottom w:val="single" w:color="000000" w:sz="4" w:space="0"/>
              <w:right w:val="single" w:color="000000" w:sz="4" w:space="0"/>
            </w:tcBorders>
            <w:vAlign w:val="center"/>
          </w:tcPr>
          <w:p w14:paraId="6F69B8E3">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盛丰路公厕</w:t>
            </w:r>
          </w:p>
        </w:tc>
        <w:tc>
          <w:tcPr>
            <w:tcW w:w="1266" w:type="pct"/>
            <w:tcBorders>
              <w:top w:val="single" w:color="000000" w:sz="4" w:space="0"/>
              <w:left w:val="single" w:color="000000" w:sz="4" w:space="0"/>
              <w:bottom w:val="single" w:color="000000" w:sz="4" w:space="0"/>
              <w:right w:val="single" w:color="000000" w:sz="4" w:space="0"/>
            </w:tcBorders>
            <w:vAlign w:val="center"/>
          </w:tcPr>
          <w:p w14:paraId="45E6C3DE">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bidi="ar"/>
              </w:rPr>
              <w:t>盛丰中段</w:t>
            </w:r>
          </w:p>
        </w:tc>
        <w:tc>
          <w:tcPr>
            <w:tcW w:w="739" w:type="pct"/>
            <w:tcBorders>
              <w:top w:val="single" w:color="000000" w:sz="4" w:space="0"/>
              <w:left w:val="single" w:color="000000" w:sz="4" w:space="0"/>
              <w:bottom w:val="single" w:color="000000" w:sz="4" w:space="0"/>
              <w:right w:val="single" w:color="000000" w:sz="4" w:space="0"/>
            </w:tcBorders>
            <w:noWrap/>
            <w:vAlign w:val="center"/>
          </w:tcPr>
          <w:p w14:paraId="40F4E89A">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三类</w:t>
            </w:r>
          </w:p>
        </w:tc>
        <w:tc>
          <w:tcPr>
            <w:tcW w:w="1196" w:type="pct"/>
            <w:tcBorders>
              <w:top w:val="single" w:color="000000" w:sz="4" w:space="0"/>
              <w:left w:val="single" w:color="000000" w:sz="4" w:space="0"/>
              <w:bottom w:val="single" w:color="000000" w:sz="4" w:space="0"/>
              <w:right w:val="single" w:color="000000" w:sz="4" w:space="0"/>
            </w:tcBorders>
            <w:vAlign w:val="center"/>
          </w:tcPr>
          <w:p w14:paraId="0E8C2454">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土建</w:t>
            </w:r>
          </w:p>
        </w:tc>
      </w:tr>
      <w:tr w14:paraId="17918B17">
        <w:tblPrEx>
          <w:tblCellMar>
            <w:top w:w="0" w:type="dxa"/>
            <w:left w:w="108" w:type="dxa"/>
            <w:bottom w:w="0" w:type="dxa"/>
            <w:right w:w="108" w:type="dxa"/>
          </w:tblCellMar>
        </w:tblPrEx>
        <w:trPr>
          <w:trHeight w:val="560" w:hRule="atLeast"/>
        </w:trPr>
        <w:tc>
          <w:tcPr>
            <w:tcW w:w="450" w:type="pct"/>
            <w:tcBorders>
              <w:top w:val="single" w:color="000000" w:sz="4" w:space="0"/>
              <w:left w:val="single" w:color="000000" w:sz="4" w:space="0"/>
              <w:bottom w:val="single" w:color="000000" w:sz="4" w:space="0"/>
              <w:right w:val="single" w:color="000000" w:sz="4" w:space="0"/>
            </w:tcBorders>
            <w:noWrap/>
            <w:vAlign w:val="center"/>
          </w:tcPr>
          <w:p w14:paraId="7580CC2A">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7</w:t>
            </w:r>
          </w:p>
        </w:tc>
        <w:tc>
          <w:tcPr>
            <w:tcW w:w="1347" w:type="pct"/>
            <w:tcBorders>
              <w:top w:val="single" w:color="000000" w:sz="4" w:space="0"/>
              <w:left w:val="single" w:color="000000" w:sz="4" w:space="0"/>
              <w:bottom w:val="single" w:color="000000" w:sz="4" w:space="0"/>
              <w:right w:val="single" w:color="000000" w:sz="4" w:space="0"/>
            </w:tcBorders>
            <w:vAlign w:val="center"/>
          </w:tcPr>
          <w:p w14:paraId="69255147">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五楼村公厕</w:t>
            </w:r>
          </w:p>
        </w:tc>
        <w:tc>
          <w:tcPr>
            <w:tcW w:w="1266" w:type="pct"/>
            <w:tcBorders>
              <w:top w:val="single" w:color="000000" w:sz="4" w:space="0"/>
              <w:left w:val="single" w:color="000000" w:sz="4" w:space="0"/>
              <w:bottom w:val="single" w:color="000000" w:sz="4" w:space="0"/>
              <w:right w:val="single" w:color="000000" w:sz="4" w:space="0"/>
            </w:tcBorders>
            <w:vAlign w:val="center"/>
          </w:tcPr>
          <w:p w14:paraId="57AC11E5">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bidi="ar"/>
              </w:rPr>
              <w:t>五楼村委会</w:t>
            </w:r>
          </w:p>
        </w:tc>
        <w:tc>
          <w:tcPr>
            <w:tcW w:w="739" w:type="pct"/>
            <w:tcBorders>
              <w:top w:val="single" w:color="000000" w:sz="4" w:space="0"/>
              <w:left w:val="single" w:color="000000" w:sz="4" w:space="0"/>
              <w:bottom w:val="single" w:color="000000" w:sz="4" w:space="0"/>
              <w:right w:val="single" w:color="000000" w:sz="4" w:space="0"/>
            </w:tcBorders>
            <w:noWrap/>
            <w:vAlign w:val="center"/>
          </w:tcPr>
          <w:p w14:paraId="7F3756C1">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三类</w:t>
            </w:r>
          </w:p>
        </w:tc>
        <w:tc>
          <w:tcPr>
            <w:tcW w:w="1196" w:type="pct"/>
            <w:tcBorders>
              <w:top w:val="single" w:color="000000" w:sz="4" w:space="0"/>
              <w:left w:val="single" w:color="000000" w:sz="4" w:space="0"/>
              <w:bottom w:val="single" w:color="000000" w:sz="4" w:space="0"/>
              <w:right w:val="single" w:color="000000" w:sz="4" w:space="0"/>
            </w:tcBorders>
            <w:vAlign w:val="center"/>
          </w:tcPr>
          <w:p w14:paraId="09081EC8">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土建</w:t>
            </w:r>
          </w:p>
        </w:tc>
      </w:tr>
      <w:tr w14:paraId="11D15F0D">
        <w:tblPrEx>
          <w:tblCellMar>
            <w:top w:w="0" w:type="dxa"/>
            <w:left w:w="108" w:type="dxa"/>
            <w:bottom w:w="0" w:type="dxa"/>
            <w:right w:w="108" w:type="dxa"/>
          </w:tblCellMar>
        </w:tblPrEx>
        <w:trPr>
          <w:trHeight w:val="560" w:hRule="atLeast"/>
        </w:trPr>
        <w:tc>
          <w:tcPr>
            <w:tcW w:w="450" w:type="pct"/>
            <w:tcBorders>
              <w:top w:val="single" w:color="000000" w:sz="4" w:space="0"/>
              <w:left w:val="single" w:color="000000" w:sz="4" w:space="0"/>
              <w:bottom w:val="single" w:color="000000" w:sz="4" w:space="0"/>
              <w:right w:val="single" w:color="000000" w:sz="4" w:space="0"/>
            </w:tcBorders>
            <w:noWrap/>
            <w:vAlign w:val="center"/>
          </w:tcPr>
          <w:p w14:paraId="4591C02E">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8</w:t>
            </w:r>
          </w:p>
        </w:tc>
        <w:tc>
          <w:tcPr>
            <w:tcW w:w="1347" w:type="pct"/>
            <w:tcBorders>
              <w:top w:val="single" w:color="000000" w:sz="4" w:space="0"/>
              <w:left w:val="single" w:color="000000" w:sz="4" w:space="0"/>
              <w:bottom w:val="single" w:color="000000" w:sz="4" w:space="0"/>
              <w:right w:val="single" w:color="000000" w:sz="4" w:space="0"/>
            </w:tcBorders>
            <w:vAlign w:val="center"/>
          </w:tcPr>
          <w:p w14:paraId="038681DA">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北张堡村公厕</w:t>
            </w:r>
          </w:p>
        </w:tc>
        <w:tc>
          <w:tcPr>
            <w:tcW w:w="1266" w:type="pct"/>
            <w:tcBorders>
              <w:top w:val="single" w:color="000000" w:sz="4" w:space="0"/>
              <w:left w:val="single" w:color="000000" w:sz="4" w:space="0"/>
              <w:bottom w:val="single" w:color="000000" w:sz="4" w:space="0"/>
              <w:right w:val="single" w:color="000000" w:sz="4" w:space="0"/>
            </w:tcBorders>
            <w:vAlign w:val="center"/>
          </w:tcPr>
          <w:p w14:paraId="5A303334">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北张村委会</w:t>
            </w:r>
          </w:p>
        </w:tc>
        <w:tc>
          <w:tcPr>
            <w:tcW w:w="739" w:type="pct"/>
            <w:tcBorders>
              <w:top w:val="single" w:color="000000" w:sz="4" w:space="0"/>
              <w:left w:val="single" w:color="000000" w:sz="4" w:space="0"/>
              <w:bottom w:val="single" w:color="000000" w:sz="4" w:space="0"/>
              <w:right w:val="single" w:color="000000" w:sz="4" w:space="0"/>
            </w:tcBorders>
            <w:noWrap/>
            <w:vAlign w:val="center"/>
          </w:tcPr>
          <w:p w14:paraId="062935C6">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三类</w:t>
            </w:r>
          </w:p>
        </w:tc>
        <w:tc>
          <w:tcPr>
            <w:tcW w:w="1196" w:type="pct"/>
            <w:tcBorders>
              <w:top w:val="single" w:color="000000" w:sz="4" w:space="0"/>
              <w:left w:val="single" w:color="000000" w:sz="4" w:space="0"/>
              <w:bottom w:val="single" w:color="000000" w:sz="4" w:space="0"/>
              <w:right w:val="single" w:color="000000" w:sz="4" w:space="0"/>
            </w:tcBorders>
            <w:vAlign w:val="center"/>
          </w:tcPr>
          <w:p w14:paraId="7600A546">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土建</w:t>
            </w:r>
          </w:p>
        </w:tc>
      </w:tr>
      <w:tr w14:paraId="6CDE98D8">
        <w:tblPrEx>
          <w:tblCellMar>
            <w:top w:w="0" w:type="dxa"/>
            <w:left w:w="108" w:type="dxa"/>
            <w:bottom w:w="0" w:type="dxa"/>
            <w:right w:w="108" w:type="dxa"/>
          </w:tblCellMar>
        </w:tblPrEx>
        <w:trPr>
          <w:trHeight w:val="560" w:hRule="atLeast"/>
        </w:trPr>
        <w:tc>
          <w:tcPr>
            <w:tcW w:w="450" w:type="pct"/>
            <w:tcBorders>
              <w:top w:val="single" w:color="000000" w:sz="4" w:space="0"/>
              <w:left w:val="single" w:color="000000" w:sz="4" w:space="0"/>
              <w:bottom w:val="single" w:color="000000" w:sz="4" w:space="0"/>
              <w:right w:val="single" w:color="000000" w:sz="4" w:space="0"/>
            </w:tcBorders>
            <w:noWrap/>
            <w:vAlign w:val="center"/>
          </w:tcPr>
          <w:p w14:paraId="28382980">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9</w:t>
            </w:r>
          </w:p>
        </w:tc>
        <w:tc>
          <w:tcPr>
            <w:tcW w:w="1347" w:type="pct"/>
            <w:tcBorders>
              <w:top w:val="single" w:color="000000" w:sz="4" w:space="0"/>
              <w:left w:val="single" w:color="000000" w:sz="4" w:space="0"/>
              <w:bottom w:val="single" w:color="000000" w:sz="4" w:space="0"/>
              <w:right w:val="single" w:color="000000" w:sz="4" w:space="0"/>
            </w:tcBorders>
            <w:vAlign w:val="center"/>
          </w:tcPr>
          <w:p w14:paraId="0D9CDAAF">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江南村公厕</w:t>
            </w:r>
          </w:p>
        </w:tc>
        <w:tc>
          <w:tcPr>
            <w:tcW w:w="1266" w:type="pct"/>
            <w:tcBorders>
              <w:top w:val="single" w:color="000000" w:sz="4" w:space="0"/>
              <w:left w:val="single" w:color="000000" w:sz="4" w:space="0"/>
              <w:bottom w:val="single" w:color="000000" w:sz="4" w:space="0"/>
              <w:right w:val="single" w:color="000000" w:sz="4" w:space="0"/>
            </w:tcBorders>
            <w:vAlign w:val="center"/>
          </w:tcPr>
          <w:p w14:paraId="557E347A">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bidi="ar"/>
              </w:rPr>
              <w:t>江南村广场</w:t>
            </w:r>
          </w:p>
        </w:tc>
        <w:tc>
          <w:tcPr>
            <w:tcW w:w="739" w:type="pct"/>
            <w:tcBorders>
              <w:top w:val="single" w:color="000000" w:sz="4" w:space="0"/>
              <w:left w:val="single" w:color="000000" w:sz="4" w:space="0"/>
              <w:bottom w:val="single" w:color="000000" w:sz="4" w:space="0"/>
              <w:right w:val="single" w:color="000000" w:sz="4" w:space="0"/>
            </w:tcBorders>
            <w:noWrap/>
            <w:vAlign w:val="center"/>
          </w:tcPr>
          <w:p w14:paraId="65B02268">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三类</w:t>
            </w:r>
          </w:p>
        </w:tc>
        <w:tc>
          <w:tcPr>
            <w:tcW w:w="1196" w:type="pct"/>
            <w:tcBorders>
              <w:top w:val="single" w:color="000000" w:sz="4" w:space="0"/>
              <w:left w:val="single" w:color="000000" w:sz="4" w:space="0"/>
              <w:bottom w:val="single" w:color="000000" w:sz="4" w:space="0"/>
              <w:right w:val="single" w:color="000000" w:sz="4" w:space="0"/>
            </w:tcBorders>
            <w:vAlign w:val="center"/>
          </w:tcPr>
          <w:p w14:paraId="3124D3D0">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土建</w:t>
            </w:r>
          </w:p>
        </w:tc>
      </w:tr>
      <w:tr w14:paraId="69A45D3A">
        <w:tblPrEx>
          <w:tblCellMar>
            <w:top w:w="0" w:type="dxa"/>
            <w:left w:w="108" w:type="dxa"/>
            <w:bottom w:w="0" w:type="dxa"/>
            <w:right w:w="108" w:type="dxa"/>
          </w:tblCellMar>
        </w:tblPrEx>
        <w:trPr>
          <w:trHeight w:val="560" w:hRule="atLeast"/>
        </w:trPr>
        <w:tc>
          <w:tcPr>
            <w:tcW w:w="450" w:type="pct"/>
            <w:tcBorders>
              <w:top w:val="single" w:color="000000" w:sz="4" w:space="0"/>
              <w:left w:val="single" w:color="000000" w:sz="4" w:space="0"/>
              <w:bottom w:val="single" w:color="000000" w:sz="4" w:space="0"/>
              <w:right w:val="single" w:color="000000" w:sz="4" w:space="0"/>
            </w:tcBorders>
            <w:noWrap/>
            <w:vAlign w:val="center"/>
          </w:tcPr>
          <w:p w14:paraId="329A7ED8">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bidi="ar"/>
              </w:rPr>
            </w:pPr>
            <w:r>
              <w:rPr>
                <w:rFonts w:hint="eastAsia" w:ascii="仿宋" w:hAnsi="仿宋" w:eastAsia="仿宋" w:cs="仿宋"/>
                <w:sz w:val="32"/>
                <w:szCs w:val="32"/>
                <w:lang w:bidi="ar"/>
              </w:rPr>
              <w:t>10</w:t>
            </w:r>
          </w:p>
        </w:tc>
        <w:tc>
          <w:tcPr>
            <w:tcW w:w="1347" w:type="pct"/>
            <w:tcBorders>
              <w:top w:val="single" w:color="000000" w:sz="4" w:space="0"/>
              <w:left w:val="single" w:color="000000" w:sz="4" w:space="0"/>
              <w:bottom w:val="single" w:color="000000" w:sz="4" w:space="0"/>
              <w:right w:val="single" w:color="000000" w:sz="4" w:space="0"/>
            </w:tcBorders>
            <w:vAlign w:val="center"/>
          </w:tcPr>
          <w:p w14:paraId="6C00FF5B">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bidi="ar"/>
              </w:rPr>
            </w:pPr>
            <w:r>
              <w:rPr>
                <w:rFonts w:hint="eastAsia" w:ascii="仿宋" w:hAnsi="仿宋" w:eastAsia="仿宋" w:cs="仿宋"/>
                <w:sz w:val="32"/>
                <w:szCs w:val="32"/>
                <w:lang w:bidi="ar"/>
              </w:rPr>
              <w:t>胡燎村公厕</w:t>
            </w:r>
          </w:p>
        </w:tc>
        <w:tc>
          <w:tcPr>
            <w:tcW w:w="1266" w:type="pct"/>
            <w:tcBorders>
              <w:top w:val="single" w:color="000000" w:sz="4" w:space="0"/>
              <w:left w:val="single" w:color="000000" w:sz="4" w:space="0"/>
              <w:bottom w:val="single" w:color="000000" w:sz="4" w:space="0"/>
              <w:right w:val="single" w:color="000000" w:sz="4" w:space="0"/>
            </w:tcBorders>
            <w:vAlign w:val="center"/>
          </w:tcPr>
          <w:p w14:paraId="7D512C8F">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val="en-US" w:eastAsia="zh-CN" w:bidi="ar"/>
              </w:rPr>
            </w:pPr>
            <w:r>
              <w:rPr>
                <w:rFonts w:hint="eastAsia" w:ascii="仿宋" w:hAnsi="仿宋" w:eastAsia="仿宋" w:cs="仿宋"/>
                <w:sz w:val="32"/>
                <w:szCs w:val="32"/>
                <w:lang w:val="en-US" w:eastAsia="zh-CN" w:bidi="ar"/>
              </w:rPr>
              <w:t>胡燎村委会</w:t>
            </w:r>
          </w:p>
        </w:tc>
        <w:tc>
          <w:tcPr>
            <w:tcW w:w="739" w:type="pct"/>
            <w:tcBorders>
              <w:top w:val="single" w:color="000000" w:sz="4" w:space="0"/>
              <w:left w:val="single" w:color="000000" w:sz="4" w:space="0"/>
              <w:bottom w:val="single" w:color="000000" w:sz="4" w:space="0"/>
              <w:right w:val="single" w:color="000000" w:sz="4" w:space="0"/>
            </w:tcBorders>
            <w:noWrap/>
            <w:vAlign w:val="center"/>
          </w:tcPr>
          <w:p w14:paraId="2E27565F">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bidi="ar"/>
              </w:rPr>
            </w:pPr>
            <w:r>
              <w:rPr>
                <w:rFonts w:hint="eastAsia" w:ascii="仿宋" w:hAnsi="仿宋" w:eastAsia="仿宋" w:cs="仿宋"/>
                <w:sz w:val="32"/>
                <w:szCs w:val="32"/>
                <w:lang w:bidi="ar"/>
              </w:rPr>
              <w:t>三类</w:t>
            </w:r>
          </w:p>
        </w:tc>
        <w:tc>
          <w:tcPr>
            <w:tcW w:w="1196" w:type="pct"/>
            <w:tcBorders>
              <w:top w:val="single" w:color="000000" w:sz="4" w:space="0"/>
              <w:left w:val="single" w:color="000000" w:sz="4" w:space="0"/>
              <w:bottom w:val="single" w:color="000000" w:sz="4" w:space="0"/>
              <w:right w:val="single" w:color="000000" w:sz="4" w:space="0"/>
            </w:tcBorders>
            <w:vAlign w:val="center"/>
          </w:tcPr>
          <w:p w14:paraId="36294E0F">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bidi="ar"/>
              </w:rPr>
            </w:pPr>
            <w:r>
              <w:rPr>
                <w:rFonts w:hint="eastAsia" w:ascii="仿宋" w:hAnsi="仿宋" w:eastAsia="仿宋" w:cs="仿宋"/>
                <w:sz w:val="32"/>
                <w:szCs w:val="32"/>
                <w:lang w:bidi="ar"/>
              </w:rPr>
              <w:t>土建</w:t>
            </w:r>
          </w:p>
        </w:tc>
      </w:tr>
      <w:tr w14:paraId="023CE0FE">
        <w:tblPrEx>
          <w:tblCellMar>
            <w:top w:w="0" w:type="dxa"/>
            <w:left w:w="108" w:type="dxa"/>
            <w:bottom w:w="0" w:type="dxa"/>
            <w:right w:w="108" w:type="dxa"/>
          </w:tblCellMar>
        </w:tblPrEx>
        <w:trPr>
          <w:trHeight w:val="560" w:hRule="atLeast"/>
        </w:trPr>
        <w:tc>
          <w:tcPr>
            <w:tcW w:w="450" w:type="pct"/>
            <w:tcBorders>
              <w:top w:val="single" w:color="000000" w:sz="4" w:space="0"/>
              <w:left w:val="single" w:color="000000" w:sz="4" w:space="0"/>
              <w:bottom w:val="single" w:color="000000" w:sz="4" w:space="0"/>
              <w:right w:val="single" w:color="000000" w:sz="4" w:space="0"/>
            </w:tcBorders>
            <w:noWrap/>
            <w:vAlign w:val="center"/>
          </w:tcPr>
          <w:p w14:paraId="61997AB8">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11</w:t>
            </w:r>
          </w:p>
        </w:tc>
        <w:tc>
          <w:tcPr>
            <w:tcW w:w="1347" w:type="pct"/>
            <w:tcBorders>
              <w:top w:val="single" w:color="000000" w:sz="4" w:space="0"/>
              <w:left w:val="single" w:color="000000" w:sz="4" w:space="0"/>
              <w:bottom w:val="single" w:color="000000" w:sz="4" w:space="0"/>
              <w:right w:val="single" w:color="000000" w:sz="4" w:space="0"/>
            </w:tcBorders>
            <w:vAlign w:val="center"/>
          </w:tcPr>
          <w:p w14:paraId="5805E053">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南留村公厕</w:t>
            </w:r>
          </w:p>
        </w:tc>
        <w:tc>
          <w:tcPr>
            <w:tcW w:w="1266" w:type="pct"/>
            <w:tcBorders>
              <w:top w:val="single" w:color="000000" w:sz="4" w:space="0"/>
              <w:left w:val="single" w:color="000000" w:sz="4" w:space="0"/>
              <w:bottom w:val="single" w:color="000000" w:sz="4" w:space="0"/>
              <w:right w:val="single" w:color="000000" w:sz="4" w:space="0"/>
            </w:tcBorders>
            <w:vAlign w:val="center"/>
          </w:tcPr>
          <w:p w14:paraId="747BB72D">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bidi="ar"/>
              </w:rPr>
              <w:t>南留村委会</w:t>
            </w:r>
          </w:p>
        </w:tc>
        <w:tc>
          <w:tcPr>
            <w:tcW w:w="739" w:type="pct"/>
            <w:tcBorders>
              <w:top w:val="single" w:color="000000" w:sz="4" w:space="0"/>
              <w:left w:val="single" w:color="000000" w:sz="4" w:space="0"/>
              <w:bottom w:val="single" w:color="000000" w:sz="4" w:space="0"/>
              <w:right w:val="single" w:color="000000" w:sz="4" w:space="0"/>
            </w:tcBorders>
            <w:noWrap/>
            <w:vAlign w:val="center"/>
          </w:tcPr>
          <w:p w14:paraId="492F302F">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三类</w:t>
            </w:r>
          </w:p>
        </w:tc>
        <w:tc>
          <w:tcPr>
            <w:tcW w:w="1196" w:type="pct"/>
            <w:tcBorders>
              <w:top w:val="single" w:color="000000" w:sz="4" w:space="0"/>
              <w:left w:val="single" w:color="000000" w:sz="4" w:space="0"/>
              <w:bottom w:val="single" w:color="000000" w:sz="4" w:space="0"/>
              <w:right w:val="single" w:color="000000" w:sz="4" w:space="0"/>
            </w:tcBorders>
            <w:vAlign w:val="center"/>
          </w:tcPr>
          <w:p w14:paraId="32585836">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土建</w:t>
            </w:r>
          </w:p>
        </w:tc>
      </w:tr>
      <w:tr w14:paraId="0AE591C0">
        <w:tblPrEx>
          <w:tblCellMar>
            <w:top w:w="0" w:type="dxa"/>
            <w:left w:w="108" w:type="dxa"/>
            <w:bottom w:w="0" w:type="dxa"/>
            <w:right w:w="108" w:type="dxa"/>
          </w:tblCellMar>
        </w:tblPrEx>
        <w:trPr>
          <w:trHeight w:val="560" w:hRule="atLeast"/>
        </w:trPr>
        <w:tc>
          <w:tcPr>
            <w:tcW w:w="450" w:type="pct"/>
            <w:tcBorders>
              <w:top w:val="single" w:color="000000" w:sz="4" w:space="0"/>
              <w:left w:val="single" w:color="000000" w:sz="4" w:space="0"/>
              <w:bottom w:val="single" w:color="000000" w:sz="4" w:space="0"/>
              <w:right w:val="single" w:color="000000" w:sz="4" w:space="0"/>
            </w:tcBorders>
            <w:noWrap/>
            <w:vAlign w:val="center"/>
          </w:tcPr>
          <w:p w14:paraId="74902DC9">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12</w:t>
            </w:r>
          </w:p>
        </w:tc>
        <w:tc>
          <w:tcPr>
            <w:tcW w:w="1347" w:type="pct"/>
            <w:tcBorders>
              <w:top w:val="single" w:color="000000" w:sz="4" w:space="0"/>
              <w:left w:val="single" w:color="000000" w:sz="4" w:space="0"/>
              <w:bottom w:val="single" w:color="000000" w:sz="4" w:space="0"/>
              <w:right w:val="single" w:color="000000" w:sz="4" w:space="0"/>
            </w:tcBorders>
            <w:vAlign w:val="center"/>
          </w:tcPr>
          <w:p w14:paraId="5A397D18">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val="en-US" w:eastAsia="zh-CN"/>
              </w:rPr>
            </w:pPr>
            <w:r>
              <w:rPr>
                <w:rFonts w:hint="eastAsia" w:ascii="仿宋" w:hAnsi="仿宋" w:eastAsia="仿宋" w:cs="仿宋"/>
                <w:sz w:val="32"/>
                <w:szCs w:val="32"/>
                <w:lang w:bidi="ar"/>
              </w:rPr>
              <w:t>五星老公</w:t>
            </w:r>
            <w:r>
              <w:rPr>
                <w:rFonts w:hint="eastAsia" w:ascii="仿宋" w:hAnsi="仿宋" w:eastAsia="仿宋" w:cs="仿宋"/>
                <w:sz w:val="32"/>
                <w:szCs w:val="32"/>
                <w:lang w:val="en-US" w:eastAsia="zh-CN" w:bidi="ar"/>
              </w:rPr>
              <w:t>厕</w:t>
            </w:r>
          </w:p>
        </w:tc>
        <w:tc>
          <w:tcPr>
            <w:tcW w:w="1266" w:type="pct"/>
            <w:tcBorders>
              <w:top w:val="single" w:color="000000" w:sz="4" w:space="0"/>
              <w:left w:val="single" w:color="000000" w:sz="4" w:space="0"/>
              <w:bottom w:val="single" w:color="000000" w:sz="4" w:space="0"/>
              <w:right w:val="single" w:color="000000" w:sz="4" w:space="0"/>
            </w:tcBorders>
            <w:vAlign w:val="center"/>
          </w:tcPr>
          <w:p w14:paraId="6A80E30C">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default" w:ascii="仿宋" w:hAnsi="仿宋" w:eastAsia="仿宋" w:cs="仿宋"/>
                <w:sz w:val="32"/>
                <w:szCs w:val="32"/>
                <w:lang w:val="en-US" w:eastAsia="zh-CN"/>
              </w:rPr>
            </w:pPr>
            <w:r>
              <w:rPr>
                <w:rFonts w:hint="eastAsia" w:ascii="仿宋" w:hAnsi="仿宋" w:eastAsia="仿宋" w:cs="仿宋"/>
                <w:sz w:val="32"/>
                <w:szCs w:val="32"/>
                <w:lang w:val="en-US" w:eastAsia="zh-CN" w:bidi="ar"/>
              </w:rPr>
              <w:t>五星老街道</w:t>
            </w:r>
          </w:p>
        </w:tc>
        <w:tc>
          <w:tcPr>
            <w:tcW w:w="739" w:type="pct"/>
            <w:tcBorders>
              <w:top w:val="single" w:color="000000" w:sz="4" w:space="0"/>
              <w:left w:val="single" w:color="000000" w:sz="4" w:space="0"/>
              <w:bottom w:val="single" w:color="000000" w:sz="4" w:space="0"/>
              <w:right w:val="single" w:color="000000" w:sz="4" w:space="0"/>
            </w:tcBorders>
            <w:noWrap/>
            <w:vAlign w:val="center"/>
          </w:tcPr>
          <w:p w14:paraId="6D9341B0">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三类</w:t>
            </w:r>
          </w:p>
        </w:tc>
        <w:tc>
          <w:tcPr>
            <w:tcW w:w="1196" w:type="pct"/>
            <w:tcBorders>
              <w:top w:val="single" w:color="000000" w:sz="4" w:space="0"/>
              <w:left w:val="single" w:color="000000" w:sz="4" w:space="0"/>
              <w:bottom w:val="single" w:color="000000" w:sz="4" w:space="0"/>
              <w:right w:val="single" w:color="000000" w:sz="4" w:space="0"/>
            </w:tcBorders>
            <w:vAlign w:val="center"/>
          </w:tcPr>
          <w:p w14:paraId="454BE038">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rPr>
            </w:pPr>
            <w:r>
              <w:rPr>
                <w:rFonts w:hint="eastAsia" w:ascii="仿宋" w:hAnsi="仿宋" w:eastAsia="仿宋" w:cs="仿宋"/>
                <w:sz w:val="32"/>
                <w:szCs w:val="32"/>
                <w:lang w:bidi="ar"/>
              </w:rPr>
              <w:t>土建</w:t>
            </w:r>
          </w:p>
        </w:tc>
      </w:tr>
    </w:tbl>
    <w:p w14:paraId="69FE5930">
      <w:pPr>
        <w:pStyle w:val="3"/>
        <w:rPr>
          <w:rFonts w:hint="eastAsia" w:ascii="仿宋" w:hAnsi="仿宋" w:eastAsia="仿宋" w:cs="仿宋"/>
          <w:sz w:val="32"/>
          <w:szCs w:val="32"/>
        </w:rPr>
      </w:pPr>
    </w:p>
    <w:p w14:paraId="5DB07BC6">
      <w:pPr>
        <w:widowControl w:val="0"/>
        <w:kinsoku/>
        <w:spacing w:line="360" w:lineRule="auto"/>
        <w:ind w:left="600"/>
        <w:rPr>
          <w:rFonts w:hint="eastAsia" w:ascii="仿宋" w:hAnsi="仿宋" w:eastAsia="仿宋" w:cs="仿宋"/>
          <w:color w:val="auto"/>
          <w:sz w:val="32"/>
          <w:szCs w:val="32"/>
        </w:rPr>
      </w:pPr>
      <w:r>
        <w:rPr>
          <w:rFonts w:hint="eastAsia" w:ascii="仿宋" w:hAnsi="仿宋" w:eastAsia="仿宋" w:cs="仿宋"/>
          <w:color w:val="auto"/>
          <w:sz w:val="32"/>
          <w:szCs w:val="32"/>
        </w:rPr>
        <w:t>3、绿化养护范围：</w:t>
      </w:r>
    </w:p>
    <w:tbl>
      <w:tblPr>
        <w:tblStyle w:val="7"/>
        <w:tblW w:w="5056" w:type="pct"/>
        <w:jc w:val="center"/>
        <w:tblLayout w:type="autofit"/>
        <w:tblCellMar>
          <w:top w:w="0" w:type="dxa"/>
          <w:left w:w="108" w:type="dxa"/>
          <w:bottom w:w="0" w:type="dxa"/>
          <w:right w:w="108" w:type="dxa"/>
        </w:tblCellMar>
      </w:tblPr>
      <w:tblGrid>
        <w:gridCol w:w="675"/>
        <w:gridCol w:w="1376"/>
        <w:gridCol w:w="2183"/>
        <w:gridCol w:w="1778"/>
        <w:gridCol w:w="1921"/>
        <w:gridCol w:w="1463"/>
      </w:tblGrid>
      <w:tr w14:paraId="443E9A90">
        <w:tblPrEx>
          <w:tblCellMar>
            <w:top w:w="0" w:type="dxa"/>
            <w:left w:w="108" w:type="dxa"/>
            <w:bottom w:w="0" w:type="dxa"/>
            <w:right w:w="108" w:type="dxa"/>
          </w:tblCellMar>
        </w:tblPrEx>
        <w:trPr>
          <w:trHeight w:val="423" w:hRule="atLeast"/>
          <w:jc w:val="center"/>
        </w:trPr>
        <w:tc>
          <w:tcPr>
            <w:tcW w:w="359" w:type="pct"/>
            <w:vMerge w:val="restart"/>
            <w:tcBorders>
              <w:top w:val="single" w:color="000000" w:sz="4" w:space="0"/>
              <w:left w:val="single" w:color="000000" w:sz="4" w:space="0"/>
              <w:bottom w:val="single" w:color="000000" w:sz="4" w:space="0"/>
              <w:right w:val="single" w:color="000000" w:sz="4" w:space="0"/>
            </w:tcBorders>
            <w:noWrap w:val="0"/>
            <w:vAlign w:val="center"/>
          </w:tcPr>
          <w:p w14:paraId="6F0C3E09">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黑体" w:hAnsi="黑体" w:eastAsia="黑体" w:cs="黑体"/>
                <w:sz w:val="32"/>
                <w:szCs w:val="32"/>
                <w:lang w:bidi="ar"/>
              </w:rPr>
            </w:pPr>
            <w:r>
              <w:rPr>
                <w:rFonts w:hint="eastAsia" w:ascii="黑体" w:hAnsi="黑体" w:eastAsia="黑体" w:cs="黑体"/>
                <w:sz w:val="32"/>
                <w:szCs w:val="32"/>
                <w:lang w:bidi="ar"/>
              </w:rPr>
              <w:t>序号</w:t>
            </w:r>
          </w:p>
        </w:tc>
        <w:tc>
          <w:tcPr>
            <w:tcW w:w="732" w:type="pct"/>
            <w:vMerge w:val="restart"/>
            <w:tcBorders>
              <w:top w:val="single" w:color="000000" w:sz="4" w:space="0"/>
              <w:left w:val="single" w:color="000000" w:sz="4" w:space="0"/>
              <w:bottom w:val="single" w:color="000000" w:sz="4" w:space="0"/>
              <w:right w:val="single" w:color="000000" w:sz="4" w:space="0"/>
            </w:tcBorders>
            <w:noWrap w:val="0"/>
            <w:vAlign w:val="center"/>
          </w:tcPr>
          <w:p w14:paraId="1CB1B933">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黑体" w:hAnsi="黑体" w:eastAsia="黑体" w:cs="黑体"/>
                <w:sz w:val="32"/>
                <w:szCs w:val="32"/>
                <w:lang w:bidi="ar"/>
              </w:rPr>
            </w:pPr>
            <w:r>
              <w:rPr>
                <w:rFonts w:hint="eastAsia" w:ascii="黑体" w:hAnsi="黑体" w:eastAsia="黑体" w:cs="黑体"/>
                <w:sz w:val="32"/>
                <w:szCs w:val="32"/>
                <w:lang w:bidi="ar"/>
              </w:rPr>
              <w:t>道路新名称</w:t>
            </w:r>
          </w:p>
        </w:tc>
        <w:tc>
          <w:tcPr>
            <w:tcW w:w="1160" w:type="pct"/>
            <w:vMerge w:val="restart"/>
            <w:tcBorders>
              <w:top w:val="single" w:color="000000" w:sz="4" w:space="0"/>
              <w:left w:val="single" w:color="000000" w:sz="4" w:space="0"/>
              <w:bottom w:val="single" w:color="000000" w:sz="4" w:space="0"/>
              <w:right w:val="single" w:color="000000" w:sz="4" w:space="0"/>
            </w:tcBorders>
            <w:noWrap w:val="0"/>
            <w:vAlign w:val="center"/>
          </w:tcPr>
          <w:p w14:paraId="3456188B">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黑体" w:hAnsi="黑体" w:eastAsia="黑体" w:cs="黑体"/>
                <w:sz w:val="32"/>
                <w:szCs w:val="32"/>
                <w:lang w:bidi="ar"/>
              </w:rPr>
            </w:pPr>
            <w:r>
              <w:rPr>
                <w:rFonts w:hint="eastAsia" w:ascii="黑体" w:hAnsi="黑体" w:eastAsia="黑体" w:cs="黑体"/>
                <w:sz w:val="32"/>
                <w:szCs w:val="32"/>
                <w:lang w:bidi="ar"/>
              </w:rPr>
              <w:t>道路起止点</w:t>
            </w:r>
          </w:p>
        </w:tc>
        <w:tc>
          <w:tcPr>
            <w:tcW w:w="946" w:type="pct"/>
            <w:vMerge w:val="restart"/>
            <w:tcBorders>
              <w:top w:val="single" w:color="000000" w:sz="4" w:space="0"/>
              <w:left w:val="single" w:color="000000" w:sz="4" w:space="0"/>
              <w:bottom w:val="single" w:color="000000" w:sz="4" w:space="0"/>
              <w:right w:val="single" w:color="000000" w:sz="4" w:space="0"/>
            </w:tcBorders>
            <w:noWrap w:val="0"/>
            <w:vAlign w:val="center"/>
          </w:tcPr>
          <w:p w14:paraId="2702A9C7">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黑体" w:hAnsi="黑体" w:eastAsia="黑体" w:cs="黑体"/>
                <w:sz w:val="32"/>
                <w:szCs w:val="32"/>
                <w:lang w:bidi="ar"/>
              </w:rPr>
            </w:pPr>
            <w:r>
              <w:rPr>
                <w:rFonts w:hint="eastAsia" w:ascii="黑体" w:hAnsi="黑体" w:eastAsia="黑体" w:cs="黑体"/>
                <w:sz w:val="32"/>
                <w:szCs w:val="32"/>
                <w:lang w:bidi="ar"/>
              </w:rPr>
              <w:t>道路长度（m）</w:t>
            </w:r>
          </w:p>
        </w:tc>
        <w:tc>
          <w:tcPr>
            <w:tcW w:w="1022" w:type="pct"/>
            <w:vMerge w:val="restart"/>
            <w:tcBorders>
              <w:top w:val="single" w:color="000000" w:sz="4" w:space="0"/>
              <w:left w:val="nil"/>
              <w:bottom w:val="single" w:color="000000" w:sz="4" w:space="0"/>
              <w:right w:val="single" w:color="000000" w:sz="4" w:space="0"/>
            </w:tcBorders>
            <w:noWrap w:val="0"/>
            <w:vAlign w:val="center"/>
          </w:tcPr>
          <w:p w14:paraId="66131FA5">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黑体" w:hAnsi="黑体" w:eastAsia="黑体" w:cs="黑体"/>
                <w:sz w:val="32"/>
                <w:szCs w:val="32"/>
                <w:lang w:bidi="ar"/>
              </w:rPr>
            </w:pPr>
            <w:r>
              <w:rPr>
                <w:rFonts w:hint="eastAsia" w:ascii="黑体" w:hAnsi="黑体" w:eastAsia="黑体" w:cs="黑体"/>
                <w:sz w:val="32"/>
                <w:szCs w:val="32"/>
                <w:lang w:bidi="ar"/>
              </w:rPr>
              <w:t>绿化面积（㎡）</w:t>
            </w:r>
          </w:p>
        </w:tc>
        <w:tc>
          <w:tcPr>
            <w:tcW w:w="778" w:type="pct"/>
            <w:vMerge w:val="restart"/>
            <w:tcBorders>
              <w:top w:val="single" w:color="000000" w:sz="4" w:space="0"/>
              <w:left w:val="single" w:color="000000" w:sz="4" w:space="0"/>
              <w:bottom w:val="single" w:color="000000" w:sz="4" w:space="0"/>
              <w:right w:val="single" w:color="000000" w:sz="4" w:space="0"/>
            </w:tcBorders>
            <w:noWrap w:val="0"/>
            <w:vAlign w:val="center"/>
          </w:tcPr>
          <w:p w14:paraId="47984E1F">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黑体" w:hAnsi="黑体" w:eastAsia="黑体" w:cs="黑体"/>
                <w:sz w:val="32"/>
                <w:szCs w:val="32"/>
                <w:lang w:bidi="ar"/>
              </w:rPr>
            </w:pPr>
            <w:r>
              <w:rPr>
                <w:rFonts w:hint="eastAsia" w:ascii="黑体" w:hAnsi="黑体" w:eastAsia="黑体" w:cs="黑体"/>
                <w:sz w:val="32"/>
                <w:szCs w:val="32"/>
                <w:lang w:bidi="ar"/>
              </w:rPr>
              <w:t>养护等级</w:t>
            </w:r>
          </w:p>
        </w:tc>
      </w:tr>
      <w:tr w14:paraId="27CFE3DD">
        <w:tblPrEx>
          <w:tblCellMar>
            <w:top w:w="0" w:type="dxa"/>
            <w:left w:w="108" w:type="dxa"/>
            <w:bottom w:w="0" w:type="dxa"/>
            <w:right w:w="108" w:type="dxa"/>
          </w:tblCellMar>
        </w:tblPrEx>
        <w:trPr>
          <w:trHeight w:val="312" w:hRule="atLeast"/>
          <w:jc w:val="center"/>
        </w:trPr>
        <w:tc>
          <w:tcPr>
            <w:tcW w:w="359" w:type="pct"/>
            <w:vMerge w:val="continue"/>
            <w:tcBorders>
              <w:top w:val="single" w:color="000000" w:sz="4" w:space="0"/>
              <w:left w:val="single" w:color="000000" w:sz="4" w:space="0"/>
              <w:bottom w:val="single" w:color="000000" w:sz="4" w:space="0"/>
              <w:right w:val="single" w:color="000000" w:sz="4" w:space="0"/>
            </w:tcBorders>
            <w:noWrap w:val="0"/>
            <w:vAlign w:val="center"/>
          </w:tcPr>
          <w:p w14:paraId="6DEB1AAE">
            <w:pPr>
              <w:jc w:val="center"/>
              <w:rPr>
                <w:rFonts w:hint="eastAsia" w:ascii="仿宋" w:hAnsi="仿宋" w:eastAsia="仿宋" w:cs="仿宋"/>
                <w:b/>
                <w:bCs/>
                <w:color w:val="000000"/>
                <w:sz w:val="32"/>
                <w:szCs w:val="32"/>
              </w:rPr>
            </w:pPr>
          </w:p>
        </w:tc>
        <w:tc>
          <w:tcPr>
            <w:tcW w:w="7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6F82970F">
            <w:pPr>
              <w:jc w:val="center"/>
              <w:rPr>
                <w:rFonts w:hint="eastAsia" w:ascii="仿宋" w:hAnsi="仿宋" w:eastAsia="仿宋" w:cs="仿宋"/>
                <w:b/>
                <w:bCs/>
                <w:color w:val="000000"/>
                <w:sz w:val="32"/>
                <w:szCs w:val="32"/>
              </w:rPr>
            </w:pPr>
          </w:p>
        </w:tc>
        <w:tc>
          <w:tcPr>
            <w:tcW w:w="1160" w:type="pct"/>
            <w:vMerge w:val="continue"/>
            <w:tcBorders>
              <w:top w:val="single" w:color="000000" w:sz="4" w:space="0"/>
              <w:left w:val="single" w:color="000000" w:sz="4" w:space="0"/>
              <w:bottom w:val="single" w:color="000000" w:sz="4" w:space="0"/>
              <w:right w:val="single" w:color="000000" w:sz="4" w:space="0"/>
            </w:tcBorders>
            <w:noWrap w:val="0"/>
            <w:vAlign w:val="center"/>
          </w:tcPr>
          <w:p w14:paraId="04FEFEEB">
            <w:pPr>
              <w:jc w:val="center"/>
              <w:rPr>
                <w:rFonts w:hint="eastAsia" w:ascii="仿宋" w:hAnsi="仿宋" w:eastAsia="仿宋" w:cs="仿宋"/>
                <w:b/>
                <w:bCs/>
                <w:color w:val="000000"/>
                <w:sz w:val="32"/>
                <w:szCs w:val="32"/>
              </w:rPr>
            </w:pPr>
          </w:p>
        </w:tc>
        <w:tc>
          <w:tcPr>
            <w:tcW w:w="946" w:type="pct"/>
            <w:vMerge w:val="continue"/>
            <w:tcBorders>
              <w:top w:val="single" w:color="000000" w:sz="4" w:space="0"/>
              <w:left w:val="single" w:color="000000" w:sz="4" w:space="0"/>
              <w:bottom w:val="single" w:color="000000" w:sz="4" w:space="0"/>
              <w:right w:val="single" w:color="000000" w:sz="4" w:space="0"/>
            </w:tcBorders>
            <w:noWrap w:val="0"/>
            <w:vAlign w:val="center"/>
          </w:tcPr>
          <w:p w14:paraId="7528AD2B">
            <w:pPr>
              <w:jc w:val="center"/>
              <w:rPr>
                <w:rFonts w:hint="eastAsia" w:ascii="仿宋" w:hAnsi="仿宋" w:eastAsia="仿宋" w:cs="仿宋"/>
                <w:b/>
                <w:bCs/>
                <w:color w:val="000000"/>
                <w:sz w:val="32"/>
                <w:szCs w:val="32"/>
              </w:rPr>
            </w:pPr>
          </w:p>
        </w:tc>
        <w:tc>
          <w:tcPr>
            <w:tcW w:w="1022" w:type="pct"/>
            <w:vMerge w:val="continue"/>
            <w:tcBorders>
              <w:top w:val="single" w:color="000000" w:sz="4" w:space="0"/>
              <w:left w:val="nil"/>
              <w:bottom w:val="single" w:color="000000" w:sz="4" w:space="0"/>
              <w:right w:val="single" w:color="000000" w:sz="4" w:space="0"/>
            </w:tcBorders>
            <w:noWrap w:val="0"/>
            <w:vAlign w:val="center"/>
          </w:tcPr>
          <w:p w14:paraId="2F53C48D">
            <w:pPr>
              <w:jc w:val="center"/>
              <w:rPr>
                <w:rFonts w:hint="eastAsia" w:ascii="仿宋" w:hAnsi="仿宋" w:eastAsia="仿宋" w:cs="仿宋"/>
                <w:b/>
                <w:bCs/>
                <w:color w:val="000000"/>
                <w:sz w:val="32"/>
                <w:szCs w:val="32"/>
              </w:rPr>
            </w:pPr>
          </w:p>
        </w:tc>
        <w:tc>
          <w:tcPr>
            <w:tcW w:w="778" w:type="pct"/>
            <w:vMerge w:val="continue"/>
            <w:tcBorders>
              <w:top w:val="single" w:color="000000" w:sz="4" w:space="0"/>
              <w:left w:val="single" w:color="000000" w:sz="4" w:space="0"/>
              <w:bottom w:val="single" w:color="000000" w:sz="4" w:space="0"/>
              <w:right w:val="single" w:color="000000" w:sz="4" w:space="0"/>
            </w:tcBorders>
            <w:noWrap w:val="0"/>
            <w:vAlign w:val="center"/>
          </w:tcPr>
          <w:p w14:paraId="4226E603">
            <w:pPr>
              <w:jc w:val="center"/>
              <w:rPr>
                <w:rFonts w:hint="eastAsia" w:ascii="仿宋" w:hAnsi="仿宋" w:eastAsia="仿宋" w:cs="仿宋"/>
                <w:b/>
                <w:bCs/>
                <w:color w:val="000000"/>
                <w:sz w:val="32"/>
                <w:szCs w:val="32"/>
              </w:rPr>
            </w:pPr>
          </w:p>
        </w:tc>
      </w:tr>
      <w:tr w14:paraId="1EFAA0EA">
        <w:tblPrEx>
          <w:tblCellMar>
            <w:top w:w="0" w:type="dxa"/>
            <w:left w:w="108" w:type="dxa"/>
            <w:bottom w:w="0" w:type="dxa"/>
            <w:right w:w="108" w:type="dxa"/>
          </w:tblCellMar>
        </w:tblPrEx>
        <w:trPr>
          <w:trHeight w:val="841" w:hRule="atLeast"/>
          <w:jc w:val="center"/>
        </w:trPr>
        <w:tc>
          <w:tcPr>
            <w:tcW w:w="359" w:type="pct"/>
            <w:tcBorders>
              <w:top w:val="single" w:color="000000" w:sz="4" w:space="0"/>
              <w:left w:val="single" w:color="000000" w:sz="4" w:space="0"/>
              <w:bottom w:val="single" w:color="000000" w:sz="4" w:space="0"/>
              <w:right w:val="single" w:color="000000" w:sz="4" w:space="0"/>
            </w:tcBorders>
            <w:noWrap w:val="0"/>
            <w:vAlign w:val="center"/>
          </w:tcPr>
          <w:p w14:paraId="1DD83EA4">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bidi="ar"/>
              </w:rPr>
            </w:pPr>
            <w:r>
              <w:rPr>
                <w:rFonts w:hint="eastAsia" w:ascii="仿宋" w:hAnsi="仿宋" w:eastAsia="仿宋" w:cs="仿宋"/>
                <w:sz w:val="32"/>
                <w:szCs w:val="32"/>
                <w:lang w:bidi="ar"/>
              </w:rPr>
              <w:t>1</w:t>
            </w:r>
          </w:p>
        </w:tc>
        <w:tc>
          <w:tcPr>
            <w:tcW w:w="732" w:type="pct"/>
            <w:tcBorders>
              <w:top w:val="single" w:color="000000" w:sz="4" w:space="0"/>
              <w:left w:val="single" w:color="000000" w:sz="4" w:space="0"/>
              <w:bottom w:val="single" w:color="000000" w:sz="4" w:space="0"/>
              <w:right w:val="single" w:color="000000" w:sz="4" w:space="0"/>
            </w:tcBorders>
            <w:noWrap w:val="0"/>
            <w:vAlign w:val="center"/>
          </w:tcPr>
          <w:p w14:paraId="4AF34A90">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28"/>
                <w:szCs w:val="28"/>
                <w:lang w:bidi="ar"/>
              </w:rPr>
            </w:pPr>
            <w:r>
              <w:rPr>
                <w:rFonts w:hint="eastAsia" w:ascii="仿宋" w:hAnsi="仿宋" w:eastAsia="仿宋" w:cs="仿宋"/>
                <w:sz w:val="28"/>
                <w:szCs w:val="28"/>
                <w:lang w:bidi="ar"/>
              </w:rPr>
              <w:t>灵和路</w:t>
            </w:r>
          </w:p>
        </w:tc>
        <w:tc>
          <w:tcPr>
            <w:tcW w:w="1160" w:type="pct"/>
            <w:tcBorders>
              <w:top w:val="single" w:color="000000" w:sz="4" w:space="0"/>
              <w:left w:val="single" w:color="000000" w:sz="4" w:space="0"/>
              <w:bottom w:val="single" w:color="000000" w:sz="4" w:space="0"/>
              <w:right w:val="single" w:color="000000" w:sz="4" w:space="0"/>
            </w:tcBorders>
            <w:noWrap w:val="0"/>
            <w:vAlign w:val="center"/>
          </w:tcPr>
          <w:p w14:paraId="1D7E6394">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24"/>
                <w:szCs w:val="24"/>
                <w:lang w:bidi="ar"/>
              </w:rPr>
            </w:pPr>
            <w:r>
              <w:rPr>
                <w:rFonts w:hint="eastAsia" w:ascii="仿宋" w:hAnsi="仿宋" w:eastAsia="仿宋" w:cs="仿宋"/>
                <w:sz w:val="24"/>
                <w:szCs w:val="24"/>
                <w:lang w:bidi="ar"/>
              </w:rPr>
              <w:t>和迪村—五星乡街道</w:t>
            </w:r>
          </w:p>
        </w:tc>
        <w:tc>
          <w:tcPr>
            <w:tcW w:w="946" w:type="pct"/>
            <w:tcBorders>
              <w:top w:val="single" w:color="000000" w:sz="4" w:space="0"/>
              <w:left w:val="single" w:color="000000" w:sz="4" w:space="0"/>
              <w:bottom w:val="single" w:color="000000" w:sz="4" w:space="0"/>
              <w:right w:val="single" w:color="000000" w:sz="4" w:space="0"/>
            </w:tcBorders>
            <w:noWrap w:val="0"/>
            <w:vAlign w:val="center"/>
          </w:tcPr>
          <w:p w14:paraId="2F3D04F4">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bidi="ar"/>
              </w:rPr>
            </w:pPr>
            <w:r>
              <w:rPr>
                <w:rFonts w:hint="eastAsia" w:ascii="仿宋" w:hAnsi="仿宋" w:eastAsia="仿宋" w:cs="仿宋"/>
                <w:sz w:val="32"/>
                <w:szCs w:val="32"/>
                <w:lang w:bidi="ar"/>
              </w:rPr>
              <w:t>3952</w:t>
            </w:r>
          </w:p>
        </w:tc>
        <w:tc>
          <w:tcPr>
            <w:tcW w:w="1022" w:type="pct"/>
            <w:tcBorders>
              <w:top w:val="single" w:color="000000" w:sz="4" w:space="0"/>
              <w:left w:val="single" w:color="000000" w:sz="4" w:space="0"/>
              <w:bottom w:val="single" w:color="000000" w:sz="4" w:space="0"/>
              <w:right w:val="single" w:color="000000" w:sz="4" w:space="0"/>
            </w:tcBorders>
            <w:noWrap w:val="0"/>
            <w:vAlign w:val="center"/>
          </w:tcPr>
          <w:p w14:paraId="4A4D4333">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bidi="ar"/>
              </w:rPr>
            </w:pPr>
            <w:r>
              <w:rPr>
                <w:rFonts w:hint="eastAsia" w:ascii="仿宋" w:hAnsi="仿宋" w:eastAsia="仿宋" w:cs="仿宋"/>
                <w:sz w:val="32"/>
                <w:szCs w:val="32"/>
                <w:lang w:bidi="ar"/>
              </w:rPr>
              <w:t>17784.00</w:t>
            </w:r>
          </w:p>
        </w:tc>
        <w:tc>
          <w:tcPr>
            <w:tcW w:w="778" w:type="pct"/>
            <w:tcBorders>
              <w:top w:val="single" w:color="000000" w:sz="4" w:space="0"/>
              <w:left w:val="single" w:color="000000" w:sz="4" w:space="0"/>
              <w:bottom w:val="single" w:color="000000" w:sz="4" w:space="0"/>
              <w:right w:val="single" w:color="000000" w:sz="4" w:space="0"/>
            </w:tcBorders>
            <w:noWrap w:val="0"/>
            <w:vAlign w:val="center"/>
          </w:tcPr>
          <w:p w14:paraId="0846B730">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28"/>
                <w:szCs w:val="28"/>
                <w:lang w:bidi="ar"/>
              </w:rPr>
            </w:pPr>
            <w:r>
              <w:rPr>
                <w:rFonts w:hint="eastAsia" w:ascii="仿宋" w:hAnsi="仿宋" w:eastAsia="仿宋" w:cs="仿宋"/>
                <w:sz w:val="28"/>
                <w:szCs w:val="28"/>
                <w:lang w:bidi="ar"/>
              </w:rPr>
              <w:t>三级</w:t>
            </w:r>
          </w:p>
        </w:tc>
      </w:tr>
      <w:tr w14:paraId="48F47F45">
        <w:tblPrEx>
          <w:tblCellMar>
            <w:top w:w="0" w:type="dxa"/>
            <w:left w:w="108" w:type="dxa"/>
            <w:bottom w:w="0" w:type="dxa"/>
            <w:right w:w="108" w:type="dxa"/>
          </w:tblCellMar>
        </w:tblPrEx>
        <w:trPr>
          <w:trHeight w:val="628" w:hRule="atLeast"/>
          <w:jc w:val="center"/>
        </w:trPr>
        <w:tc>
          <w:tcPr>
            <w:tcW w:w="359" w:type="pct"/>
            <w:tcBorders>
              <w:top w:val="single" w:color="000000" w:sz="4" w:space="0"/>
              <w:left w:val="single" w:color="000000" w:sz="4" w:space="0"/>
              <w:bottom w:val="single" w:color="000000" w:sz="4" w:space="0"/>
              <w:right w:val="single" w:color="000000" w:sz="4" w:space="0"/>
            </w:tcBorders>
            <w:noWrap w:val="0"/>
            <w:vAlign w:val="center"/>
          </w:tcPr>
          <w:p w14:paraId="269D1D7C">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bidi="ar"/>
              </w:rPr>
            </w:pPr>
            <w:r>
              <w:rPr>
                <w:rFonts w:hint="eastAsia" w:ascii="仿宋" w:hAnsi="仿宋" w:eastAsia="仿宋" w:cs="仿宋"/>
                <w:sz w:val="32"/>
                <w:szCs w:val="32"/>
                <w:lang w:bidi="ar"/>
              </w:rPr>
              <w:t>2</w:t>
            </w:r>
          </w:p>
        </w:tc>
        <w:tc>
          <w:tcPr>
            <w:tcW w:w="732" w:type="pct"/>
            <w:tcBorders>
              <w:top w:val="single" w:color="000000" w:sz="4" w:space="0"/>
              <w:left w:val="single" w:color="000000" w:sz="4" w:space="0"/>
              <w:bottom w:val="single" w:color="000000" w:sz="4" w:space="0"/>
              <w:right w:val="single" w:color="000000" w:sz="4" w:space="0"/>
            </w:tcBorders>
            <w:noWrap w:val="0"/>
            <w:vAlign w:val="center"/>
          </w:tcPr>
          <w:p w14:paraId="0F6C9EE5">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28"/>
                <w:szCs w:val="28"/>
                <w:lang w:bidi="ar"/>
              </w:rPr>
            </w:pPr>
            <w:r>
              <w:rPr>
                <w:rFonts w:hint="eastAsia" w:ascii="仿宋" w:hAnsi="仿宋" w:eastAsia="仿宋" w:cs="仿宋"/>
                <w:sz w:val="28"/>
                <w:szCs w:val="28"/>
                <w:lang w:bidi="ar"/>
              </w:rPr>
              <w:t>西和路</w:t>
            </w:r>
          </w:p>
        </w:tc>
        <w:tc>
          <w:tcPr>
            <w:tcW w:w="1160" w:type="pct"/>
            <w:tcBorders>
              <w:top w:val="single" w:color="000000" w:sz="4" w:space="0"/>
              <w:left w:val="single" w:color="000000" w:sz="4" w:space="0"/>
              <w:bottom w:val="single" w:color="000000" w:sz="4" w:space="0"/>
              <w:right w:val="single" w:color="000000" w:sz="4" w:space="0"/>
            </w:tcBorders>
            <w:noWrap w:val="0"/>
            <w:vAlign w:val="center"/>
          </w:tcPr>
          <w:p w14:paraId="5A0D90B7">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24"/>
                <w:szCs w:val="24"/>
                <w:lang w:bidi="ar"/>
              </w:rPr>
            </w:pPr>
            <w:r>
              <w:rPr>
                <w:rFonts w:hint="eastAsia" w:ascii="仿宋" w:hAnsi="仿宋" w:eastAsia="仿宋" w:cs="仿宋"/>
                <w:sz w:val="24"/>
                <w:szCs w:val="24"/>
                <w:lang w:bidi="ar"/>
              </w:rPr>
              <w:t>共同村—和迪村</w:t>
            </w:r>
          </w:p>
        </w:tc>
        <w:tc>
          <w:tcPr>
            <w:tcW w:w="946" w:type="pct"/>
            <w:tcBorders>
              <w:top w:val="single" w:color="000000" w:sz="4" w:space="0"/>
              <w:left w:val="single" w:color="000000" w:sz="4" w:space="0"/>
              <w:bottom w:val="single" w:color="000000" w:sz="4" w:space="0"/>
              <w:right w:val="single" w:color="000000" w:sz="4" w:space="0"/>
            </w:tcBorders>
            <w:noWrap w:val="0"/>
            <w:vAlign w:val="center"/>
          </w:tcPr>
          <w:p w14:paraId="68FB6355">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bidi="ar"/>
              </w:rPr>
            </w:pPr>
            <w:r>
              <w:rPr>
                <w:rFonts w:hint="eastAsia" w:ascii="仿宋" w:hAnsi="仿宋" w:eastAsia="仿宋" w:cs="仿宋"/>
                <w:sz w:val="32"/>
                <w:szCs w:val="32"/>
                <w:lang w:bidi="ar"/>
              </w:rPr>
              <w:t>3120</w:t>
            </w:r>
          </w:p>
        </w:tc>
        <w:tc>
          <w:tcPr>
            <w:tcW w:w="1022" w:type="pct"/>
            <w:tcBorders>
              <w:top w:val="single" w:color="000000" w:sz="4" w:space="0"/>
              <w:left w:val="single" w:color="000000" w:sz="4" w:space="0"/>
              <w:bottom w:val="single" w:color="000000" w:sz="4" w:space="0"/>
              <w:right w:val="single" w:color="000000" w:sz="4" w:space="0"/>
            </w:tcBorders>
            <w:noWrap w:val="0"/>
            <w:vAlign w:val="center"/>
          </w:tcPr>
          <w:p w14:paraId="0CE26FD2">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bidi="ar"/>
              </w:rPr>
            </w:pPr>
            <w:r>
              <w:rPr>
                <w:rFonts w:hint="eastAsia" w:ascii="仿宋" w:hAnsi="仿宋" w:eastAsia="仿宋" w:cs="仿宋"/>
                <w:sz w:val="32"/>
                <w:szCs w:val="32"/>
                <w:lang w:bidi="ar"/>
              </w:rPr>
              <w:t>14040.00</w:t>
            </w:r>
          </w:p>
        </w:tc>
        <w:tc>
          <w:tcPr>
            <w:tcW w:w="778" w:type="pct"/>
            <w:tcBorders>
              <w:top w:val="single" w:color="000000" w:sz="4" w:space="0"/>
              <w:left w:val="single" w:color="000000" w:sz="4" w:space="0"/>
              <w:bottom w:val="single" w:color="000000" w:sz="4" w:space="0"/>
              <w:right w:val="single" w:color="000000" w:sz="4" w:space="0"/>
            </w:tcBorders>
            <w:noWrap w:val="0"/>
            <w:vAlign w:val="center"/>
          </w:tcPr>
          <w:p w14:paraId="51608E39">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28"/>
                <w:szCs w:val="28"/>
                <w:lang w:bidi="ar"/>
              </w:rPr>
            </w:pPr>
            <w:r>
              <w:rPr>
                <w:rFonts w:hint="eastAsia" w:ascii="仿宋" w:hAnsi="仿宋" w:eastAsia="仿宋" w:cs="仿宋"/>
                <w:sz w:val="28"/>
                <w:szCs w:val="28"/>
                <w:lang w:bidi="ar"/>
              </w:rPr>
              <w:t>三级</w:t>
            </w:r>
          </w:p>
        </w:tc>
      </w:tr>
      <w:tr w14:paraId="568DD129">
        <w:tblPrEx>
          <w:tblCellMar>
            <w:top w:w="0" w:type="dxa"/>
            <w:left w:w="108" w:type="dxa"/>
            <w:bottom w:w="0" w:type="dxa"/>
            <w:right w:w="108" w:type="dxa"/>
          </w:tblCellMar>
        </w:tblPrEx>
        <w:trPr>
          <w:trHeight w:val="424" w:hRule="atLeast"/>
          <w:jc w:val="center"/>
        </w:trPr>
        <w:tc>
          <w:tcPr>
            <w:tcW w:w="359" w:type="pct"/>
            <w:tcBorders>
              <w:top w:val="single" w:color="000000" w:sz="4" w:space="0"/>
              <w:left w:val="single" w:color="000000" w:sz="4" w:space="0"/>
              <w:bottom w:val="single" w:color="000000" w:sz="4" w:space="0"/>
              <w:right w:val="single" w:color="000000" w:sz="4" w:space="0"/>
            </w:tcBorders>
            <w:noWrap w:val="0"/>
            <w:vAlign w:val="center"/>
          </w:tcPr>
          <w:p w14:paraId="7AEE874B">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bidi="ar"/>
              </w:rPr>
            </w:pPr>
            <w:r>
              <w:rPr>
                <w:rFonts w:hint="eastAsia" w:ascii="仿宋" w:hAnsi="仿宋" w:eastAsia="仿宋" w:cs="仿宋"/>
                <w:sz w:val="32"/>
                <w:szCs w:val="32"/>
                <w:lang w:bidi="ar"/>
              </w:rPr>
              <w:t>3</w:t>
            </w:r>
          </w:p>
        </w:tc>
        <w:tc>
          <w:tcPr>
            <w:tcW w:w="732" w:type="pct"/>
            <w:tcBorders>
              <w:top w:val="single" w:color="000000" w:sz="4" w:space="0"/>
              <w:left w:val="single" w:color="000000" w:sz="4" w:space="0"/>
              <w:bottom w:val="single" w:color="000000" w:sz="4" w:space="0"/>
              <w:right w:val="single" w:color="000000" w:sz="4" w:space="0"/>
            </w:tcBorders>
            <w:noWrap w:val="0"/>
            <w:vAlign w:val="center"/>
          </w:tcPr>
          <w:p w14:paraId="03E0F956">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28"/>
                <w:szCs w:val="28"/>
                <w:lang w:bidi="ar"/>
              </w:rPr>
            </w:pPr>
            <w:r>
              <w:rPr>
                <w:rFonts w:hint="eastAsia" w:ascii="仿宋" w:hAnsi="仿宋" w:eastAsia="仿宋" w:cs="仿宋"/>
                <w:sz w:val="28"/>
                <w:szCs w:val="28"/>
                <w:lang w:bidi="ar"/>
              </w:rPr>
              <w:t>西五路</w:t>
            </w:r>
          </w:p>
        </w:tc>
        <w:tc>
          <w:tcPr>
            <w:tcW w:w="1160" w:type="pct"/>
            <w:tcBorders>
              <w:top w:val="single" w:color="000000" w:sz="4" w:space="0"/>
              <w:left w:val="single" w:color="000000" w:sz="4" w:space="0"/>
              <w:bottom w:val="single" w:color="000000" w:sz="4" w:space="0"/>
              <w:right w:val="single" w:color="000000" w:sz="4" w:space="0"/>
            </w:tcBorders>
            <w:noWrap w:val="0"/>
            <w:vAlign w:val="center"/>
          </w:tcPr>
          <w:p w14:paraId="67A4C449">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24"/>
                <w:szCs w:val="24"/>
                <w:lang w:bidi="ar"/>
              </w:rPr>
            </w:pPr>
            <w:r>
              <w:rPr>
                <w:rFonts w:hint="eastAsia" w:ascii="仿宋" w:hAnsi="仿宋" w:eastAsia="仿宋" w:cs="仿宋"/>
                <w:sz w:val="24"/>
                <w:szCs w:val="24"/>
                <w:lang w:bidi="ar"/>
              </w:rPr>
              <w:t>进步村—北张堡</w:t>
            </w:r>
          </w:p>
        </w:tc>
        <w:tc>
          <w:tcPr>
            <w:tcW w:w="946" w:type="pct"/>
            <w:tcBorders>
              <w:top w:val="single" w:color="000000" w:sz="4" w:space="0"/>
              <w:left w:val="single" w:color="000000" w:sz="4" w:space="0"/>
              <w:bottom w:val="single" w:color="000000" w:sz="4" w:space="0"/>
              <w:right w:val="single" w:color="000000" w:sz="4" w:space="0"/>
            </w:tcBorders>
            <w:noWrap w:val="0"/>
            <w:vAlign w:val="center"/>
          </w:tcPr>
          <w:p w14:paraId="79E76067">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bidi="ar"/>
              </w:rPr>
            </w:pPr>
            <w:r>
              <w:rPr>
                <w:rFonts w:hint="eastAsia" w:ascii="仿宋" w:hAnsi="仿宋" w:eastAsia="仿宋" w:cs="仿宋"/>
                <w:sz w:val="32"/>
                <w:szCs w:val="32"/>
                <w:lang w:bidi="ar"/>
              </w:rPr>
              <w:t>3694</w:t>
            </w:r>
          </w:p>
        </w:tc>
        <w:tc>
          <w:tcPr>
            <w:tcW w:w="1022" w:type="pct"/>
            <w:tcBorders>
              <w:top w:val="single" w:color="000000" w:sz="4" w:space="0"/>
              <w:left w:val="single" w:color="000000" w:sz="4" w:space="0"/>
              <w:bottom w:val="single" w:color="000000" w:sz="4" w:space="0"/>
              <w:right w:val="single" w:color="000000" w:sz="4" w:space="0"/>
            </w:tcBorders>
            <w:noWrap w:val="0"/>
            <w:vAlign w:val="center"/>
          </w:tcPr>
          <w:p w14:paraId="67D723AE">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bidi="ar"/>
              </w:rPr>
            </w:pPr>
            <w:r>
              <w:rPr>
                <w:rFonts w:hint="eastAsia" w:ascii="仿宋" w:hAnsi="仿宋" w:eastAsia="仿宋" w:cs="仿宋"/>
                <w:sz w:val="32"/>
                <w:szCs w:val="32"/>
                <w:lang w:bidi="ar"/>
              </w:rPr>
              <w:t>16227.00</w:t>
            </w:r>
          </w:p>
        </w:tc>
        <w:tc>
          <w:tcPr>
            <w:tcW w:w="778" w:type="pct"/>
            <w:tcBorders>
              <w:top w:val="single" w:color="000000" w:sz="4" w:space="0"/>
              <w:left w:val="single" w:color="000000" w:sz="4" w:space="0"/>
              <w:bottom w:val="single" w:color="000000" w:sz="4" w:space="0"/>
              <w:right w:val="single" w:color="000000" w:sz="4" w:space="0"/>
            </w:tcBorders>
            <w:noWrap w:val="0"/>
            <w:vAlign w:val="center"/>
          </w:tcPr>
          <w:p w14:paraId="174F777A">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28"/>
                <w:szCs w:val="28"/>
                <w:lang w:bidi="ar"/>
              </w:rPr>
            </w:pPr>
            <w:r>
              <w:rPr>
                <w:rFonts w:hint="eastAsia" w:ascii="仿宋" w:hAnsi="仿宋" w:eastAsia="仿宋" w:cs="仿宋"/>
                <w:sz w:val="28"/>
                <w:szCs w:val="28"/>
                <w:lang w:bidi="ar"/>
              </w:rPr>
              <w:t>三级</w:t>
            </w:r>
          </w:p>
        </w:tc>
      </w:tr>
      <w:tr w14:paraId="76E4551E">
        <w:tblPrEx>
          <w:tblCellMar>
            <w:top w:w="0" w:type="dxa"/>
            <w:left w:w="108" w:type="dxa"/>
            <w:bottom w:w="0" w:type="dxa"/>
            <w:right w:w="108" w:type="dxa"/>
          </w:tblCellMar>
        </w:tblPrEx>
        <w:trPr>
          <w:trHeight w:val="841" w:hRule="atLeast"/>
          <w:jc w:val="center"/>
        </w:trPr>
        <w:tc>
          <w:tcPr>
            <w:tcW w:w="359" w:type="pct"/>
            <w:tcBorders>
              <w:top w:val="single" w:color="000000" w:sz="4" w:space="0"/>
              <w:left w:val="single" w:color="000000" w:sz="4" w:space="0"/>
              <w:bottom w:val="single" w:color="000000" w:sz="4" w:space="0"/>
              <w:right w:val="single" w:color="000000" w:sz="4" w:space="0"/>
            </w:tcBorders>
            <w:noWrap w:val="0"/>
            <w:vAlign w:val="center"/>
          </w:tcPr>
          <w:p w14:paraId="7DF72E53">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bidi="ar"/>
              </w:rPr>
            </w:pPr>
            <w:r>
              <w:rPr>
                <w:rFonts w:hint="eastAsia" w:ascii="仿宋" w:hAnsi="仿宋" w:eastAsia="仿宋" w:cs="仿宋"/>
                <w:sz w:val="32"/>
                <w:szCs w:val="32"/>
                <w:lang w:bidi="ar"/>
              </w:rPr>
              <w:t>4</w:t>
            </w:r>
          </w:p>
        </w:tc>
        <w:tc>
          <w:tcPr>
            <w:tcW w:w="732" w:type="pct"/>
            <w:tcBorders>
              <w:top w:val="single" w:color="000000" w:sz="4" w:space="0"/>
              <w:left w:val="single" w:color="000000" w:sz="4" w:space="0"/>
              <w:bottom w:val="single" w:color="000000" w:sz="4" w:space="0"/>
              <w:right w:val="single" w:color="000000" w:sz="4" w:space="0"/>
            </w:tcBorders>
            <w:noWrap w:val="0"/>
            <w:vAlign w:val="center"/>
          </w:tcPr>
          <w:p w14:paraId="5B46A720">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28"/>
                <w:szCs w:val="28"/>
                <w:lang w:bidi="ar"/>
              </w:rPr>
            </w:pPr>
            <w:r>
              <w:rPr>
                <w:rFonts w:hint="eastAsia" w:ascii="仿宋" w:hAnsi="仿宋" w:eastAsia="仿宋" w:cs="仿宋"/>
                <w:sz w:val="28"/>
                <w:szCs w:val="28"/>
                <w:lang w:bidi="ar"/>
              </w:rPr>
              <w:t>西太路支线</w:t>
            </w:r>
          </w:p>
        </w:tc>
        <w:tc>
          <w:tcPr>
            <w:tcW w:w="1160" w:type="pct"/>
            <w:tcBorders>
              <w:top w:val="single" w:color="000000" w:sz="4" w:space="0"/>
              <w:left w:val="single" w:color="000000" w:sz="4" w:space="0"/>
              <w:bottom w:val="single" w:color="000000" w:sz="4" w:space="0"/>
              <w:right w:val="single" w:color="000000" w:sz="4" w:space="0"/>
            </w:tcBorders>
            <w:noWrap w:val="0"/>
            <w:vAlign w:val="center"/>
          </w:tcPr>
          <w:p w14:paraId="6547514D">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24"/>
                <w:szCs w:val="24"/>
                <w:lang w:bidi="ar"/>
              </w:rPr>
            </w:pPr>
            <w:r>
              <w:rPr>
                <w:rFonts w:hint="eastAsia" w:ascii="仿宋" w:hAnsi="仿宋" w:eastAsia="仿宋" w:cs="仿宋"/>
                <w:sz w:val="24"/>
                <w:szCs w:val="24"/>
                <w:lang w:bidi="ar"/>
              </w:rPr>
              <w:t>西太路-长安界</w:t>
            </w:r>
          </w:p>
        </w:tc>
        <w:tc>
          <w:tcPr>
            <w:tcW w:w="946" w:type="pct"/>
            <w:tcBorders>
              <w:top w:val="single" w:color="000000" w:sz="4" w:space="0"/>
              <w:left w:val="single" w:color="000000" w:sz="4" w:space="0"/>
              <w:bottom w:val="single" w:color="000000" w:sz="4" w:space="0"/>
              <w:right w:val="single" w:color="000000" w:sz="4" w:space="0"/>
            </w:tcBorders>
            <w:noWrap w:val="0"/>
            <w:vAlign w:val="center"/>
          </w:tcPr>
          <w:p w14:paraId="4D373F4B">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bidi="ar"/>
              </w:rPr>
            </w:pPr>
            <w:r>
              <w:rPr>
                <w:rFonts w:hint="eastAsia" w:ascii="仿宋" w:hAnsi="仿宋" w:eastAsia="仿宋" w:cs="仿宋"/>
                <w:sz w:val="32"/>
                <w:szCs w:val="32"/>
                <w:lang w:bidi="ar"/>
              </w:rPr>
              <w:t>2044</w:t>
            </w:r>
          </w:p>
        </w:tc>
        <w:tc>
          <w:tcPr>
            <w:tcW w:w="1022" w:type="pct"/>
            <w:tcBorders>
              <w:top w:val="single" w:color="000000" w:sz="4" w:space="0"/>
              <w:left w:val="single" w:color="000000" w:sz="4" w:space="0"/>
              <w:bottom w:val="single" w:color="000000" w:sz="4" w:space="0"/>
              <w:right w:val="single" w:color="000000" w:sz="4" w:space="0"/>
            </w:tcBorders>
            <w:noWrap w:val="0"/>
            <w:vAlign w:val="center"/>
          </w:tcPr>
          <w:p w14:paraId="47FBA0C3">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bidi="ar"/>
              </w:rPr>
            </w:pPr>
            <w:r>
              <w:rPr>
                <w:rFonts w:hint="eastAsia" w:ascii="仿宋" w:hAnsi="仿宋" w:eastAsia="仿宋" w:cs="仿宋"/>
                <w:sz w:val="32"/>
                <w:szCs w:val="32"/>
                <w:lang w:bidi="ar"/>
              </w:rPr>
              <w:t>9200.00</w:t>
            </w:r>
          </w:p>
        </w:tc>
        <w:tc>
          <w:tcPr>
            <w:tcW w:w="778" w:type="pct"/>
            <w:tcBorders>
              <w:top w:val="single" w:color="000000" w:sz="4" w:space="0"/>
              <w:left w:val="single" w:color="000000" w:sz="4" w:space="0"/>
              <w:bottom w:val="single" w:color="000000" w:sz="4" w:space="0"/>
              <w:right w:val="single" w:color="000000" w:sz="4" w:space="0"/>
            </w:tcBorders>
            <w:noWrap w:val="0"/>
            <w:vAlign w:val="center"/>
          </w:tcPr>
          <w:p w14:paraId="0718FFE4">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28"/>
                <w:szCs w:val="28"/>
                <w:lang w:bidi="ar"/>
              </w:rPr>
            </w:pPr>
            <w:r>
              <w:rPr>
                <w:rFonts w:hint="eastAsia" w:ascii="仿宋" w:hAnsi="仿宋" w:eastAsia="仿宋" w:cs="仿宋"/>
                <w:sz w:val="28"/>
                <w:szCs w:val="28"/>
                <w:lang w:bidi="ar"/>
              </w:rPr>
              <w:t>三级</w:t>
            </w:r>
          </w:p>
        </w:tc>
      </w:tr>
      <w:tr w14:paraId="219DD78E">
        <w:tblPrEx>
          <w:tblCellMar>
            <w:top w:w="0" w:type="dxa"/>
            <w:left w:w="108" w:type="dxa"/>
            <w:bottom w:w="0" w:type="dxa"/>
            <w:right w:w="108" w:type="dxa"/>
          </w:tblCellMar>
        </w:tblPrEx>
        <w:trPr>
          <w:trHeight w:val="841" w:hRule="atLeast"/>
          <w:jc w:val="center"/>
        </w:trPr>
        <w:tc>
          <w:tcPr>
            <w:tcW w:w="359" w:type="pct"/>
            <w:tcBorders>
              <w:top w:val="single" w:color="000000" w:sz="4" w:space="0"/>
              <w:left w:val="single" w:color="000000" w:sz="4" w:space="0"/>
              <w:bottom w:val="single" w:color="000000" w:sz="4" w:space="0"/>
              <w:right w:val="single" w:color="000000" w:sz="4" w:space="0"/>
            </w:tcBorders>
            <w:noWrap w:val="0"/>
            <w:vAlign w:val="center"/>
          </w:tcPr>
          <w:p w14:paraId="7844A9A8">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bidi="ar"/>
              </w:rPr>
            </w:pPr>
            <w:r>
              <w:rPr>
                <w:rFonts w:hint="eastAsia" w:ascii="仿宋" w:hAnsi="仿宋" w:eastAsia="仿宋" w:cs="仿宋"/>
                <w:sz w:val="32"/>
                <w:szCs w:val="32"/>
                <w:lang w:bidi="ar"/>
              </w:rPr>
              <w:t>5</w:t>
            </w:r>
          </w:p>
        </w:tc>
        <w:tc>
          <w:tcPr>
            <w:tcW w:w="732" w:type="pct"/>
            <w:tcBorders>
              <w:top w:val="single" w:color="000000" w:sz="4" w:space="0"/>
              <w:left w:val="single" w:color="000000" w:sz="4" w:space="0"/>
              <w:bottom w:val="single" w:color="000000" w:sz="4" w:space="0"/>
              <w:right w:val="single" w:color="000000" w:sz="4" w:space="0"/>
            </w:tcBorders>
            <w:noWrap w:val="0"/>
            <w:vAlign w:val="center"/>
          </w:tcPr>
          <w:p w14:paraId="0C79A89D">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28"/>
                <w:szCs w:val="28"/>
                <w:lang w:bidi="ar"/>
              </w:rPr>
            </w:pPr>
            <w:r>
              <w:rPr>
                <w:rFonts w:hint="eastAsia" w:ascii="仿宋" w:hAnsi="仿宋" w:eastAsia="仿宋" w:cs="仿宋"/>
                <w:sz w:val="28"/>
                <w:szCs w:val="28"/>
                <w:lang w:bidi="ar"/>
              </w:rPr>
              <w:t>广丰路</w:t>
            </w:r>
          </w:p>
        </w:tc>
        <w:tc>
          <w:tcPr>
            <w:tcW w:w="1160" w:type="pct"/>
            <w:tcBorders>
              <w:top w:val="single" w:color="000000" w:sz="4" w:space="0"/>
              <w:left w:val="single" w:color="000000" w:sz="4" w:space="0"/>
              <w:bottom w:val="single" w:color="000000" w:sz="4" w:space="0"/>
              <w:right w:val="single" w:color="000000" w:sz="4" w:space="0"/>
            </w:tcBorders>
            <w:noWrap w:val="0"/>
            <w:vAlign w:val="center"/>
          </w:tcPr>
          <w:p w14:paraId="5C662EFC">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24"/>
                <w:szCs w:val="24"/>
                <w:lang w:bidi="ar"/>
              </w:rPr>
            </w:pPr>
            <w:r>
              <w:rPr>
                <w:rFonts w:hint="eastAsia" w:ascii="仿宋" w:hAnsi="仿宋" w:eastAsia="仿宋" w:cs="仿宋"/>
                <w:sz w:val="24"/>
                <w:szCs w:val="24"/>
                <w:lang w:bidi="ar"/>
              </w:rPr>
              <w:t>西沣路-西太路</w:t>
            </w:r>
          </w:p>
        </w:tc>
        <w:tc>
          <w:tcPr>
            <w:tcW w:w="946" w:type="pct"/>
            <w:tcBorders>
              <w:top w:val="single" w:color="000000" w:sz="4" w:space="0"/>
              <w:left w:val="single" w:color="000000" w:sz="4" w:space="0"/>
              <w:bottom w:val="single" w:color="000000" w:sz="4" w:space="0"/>
              <w:right w:val="single" w:color="000000" w:sz="4" w:space="0"/>
            </w:tcBorders>
            <w:noWrap w:val="0"/>
            <w:vAlign w:val="center"/>
          </w:tcPr>
          <w:p w14:paraId="376FEDBD">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bidi="ar"/>
              </w:rPr>
            </w:pPr>
            <w:r>
              <w:rPr>
                <w:rFonts w:hint="eastAsia" w:ascii="仿宋" w:hAnsi="仿宋" w:eastAsia="仿宋" w:cs="仿宋"/>
                <w:sz w:val="32"/>
                <w:szCs w:val="32"/>
                <w:lang w:bidi="ar"/>
              </w:rPr>
              <w:t>980</w:t>
            </w:r>
          </w:p>
        </w:tc>
        <w:tc>
          <w:tcPr>
            <w:tcW w:w="1022" w:type="pct"/>
            <w:tcBorders>
              <w:top w:val="single" w:color="000000" w:sz="4" w:space="0"/>
              <w:left w:val="single" w:color="000000" w:sz="4" w:space="0"/>
              <w:bottom w:val="single" w:color="000000" w:sz="4" w:space="0"/>
              <w:right w:val="single" w:color="000000" w:sz="4" w:space="0"/>
            </w:tcBorders>
            <w:noWrap w:val="0"/>
            <w:vAlign w:val="center"/>
          </w:tcPr>
          <w:p w14:paraId="0B5FD683">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bidi="ar"/>
              </w:rPr>
            </w:pPr>
            <w:r>
              <w:rPr>
                <w:rFonts w:hint="eastAsia" w:ascii="仿宋" w:hAnsi="仿宋" w:eastAsia="仿宋" w:cs="仿宋"/>
                <w:sz w:val="32"/>
                <w:szCs w:val="32"/>
                <w:lang w:bidi="ar"/>
              </w:rPr>
              <w:t>8850.00</w:t>
            </w:r>
          </w:p>
        </w:tc>
        <w:tc>
          <w:tcPr>
            <w:tcW w:w="778" w:type="pct"/>
            <w:tcBorders>
              <w:top w:val="single" w:color="000000" w:sz="4" w:space="0"/>
              <w:left w:val="single" w:color="000000" w:sz="4" w:space="0"/>
              <w:bottom w:val="single" w:color="000000" w:sz="4" w:space="0"/>
              <w:right w:val="single" w:color="000000" w:sz="4" w:space="0"/>
            </w:tcBorders>
            <w:noWrap w:val="0"/>
            <w:vAlign w:val="center"/>
          </w:tcPr>
          <w:p w14:paraId="17506F75">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28"/>
                <w:szCs w:val="28"/>
                <w:lang w:bidi="ar"/>
              </w:rPr>
            </w:pPr>
            <w:r>
              <w:rPr>
                <w:rFonts w:hint="eastAsia" w:ascii="仿宋" w:hAnsi="仿宋" w:eastAsia="仿宋" w:cs="仿宋"/>
                <w:sz w:val="28"/>
                <w:szCs w:val="28"/>
                <w:lang w:bidi="ar"/>
              </w:rPr>
              <w:t>二级</w:t>
            </w:r>
          </w:p>
        </w:tc>
      </w:tr>
      <w:tr w14:paraId="31C48E53">
        <w:tblPrEx>
          <w:tblCellMar>
            <w:top w:w="0" w:type="dxa"/>
            <w:left w:w="108" w:type="dxa"/>
            <w:bottom w:w="0" w:type="dxa"/>
            <w:right w:w="108" w:type="dxa"/>
          </w:tblCellMar>
        </w:tblPrEx>
        <w:trPr>
          <w:trHeight w:val="785" w:hRule="atLeast"/>
          <w:jc w:val="center"/>
        </w:trPr>
        <w:tc>
          <w:tcPr>
            <w:tcW w:w="359" w:type="pct"/>
            <w:tcBorders>
              <w:top w:val="single" w:color="000000" w:sz="4" w:space="0"/>
              <w:left w:val="single" w:color="000000" w:sz="4" w:space="0"/>
              <w:bottom w:val="single" w:color="000000" w:sz="4" w:space="0"/>
              <w:right w:val="single" w:color="000000" w:sz="4" w:space="0"/>
            </w:tcBorders>
            <w:noWrap w:val="0"/>
            <w:vAlign w:val="center"/>
          </w:tcPr>
          <w:p w14:paraId="3F1396A4">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bidi="ar"/>
              </w:rPr>
            </w:pPr>
            <w:r>
              <w:rPr>
                <w:rFonts w:hint="eastAsia" w:ascii="仿宋" w:hAnsi="仿宋" w:eastAsia="仿宋" w:cs="仿宋"/>
                <w:sz w:val="32"/>
                <w:szCs w:val="32"/>
                <w:lang w:bidi="ar"/>
              </w:rPr>
              <w:t>6</w:t>
            </w:r>
          </w:p>
        </w:tc>
        <w:tc>
          <w:tcPr>
            <w:tcW w:w="732" w:type="pct"/>
            <w:tcBorders>
              <w:top w:val="single" w:color="000000" w:sz="4" w:space="0"/>
              <w:left w:val="single" w:color="000000" w:sz="4" w:space="0"/>
              <w:bottom w:val="single" w:color="000000" w:sz="4" w:space="0"/>
              <w:right w:val="single" w:color="000000" w:sz="4" w:space="0"/>
            </w:tcBorders>
            <w:noWrap w:val="0"/>
            <w:vAlign w:val="center"/>
          </w:tcPr>
          <w:p w14:paraId="21D77FCF">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28"/>
                <w:szCs w:val="28"/>
                <w:lang w:bidi="ar"/>
              </w:rPr>
            </w:pPr>
            <w:r>
              <w:rPr>
                <w:rFonts w:hint="eastAsia" w:ascii="仿宋" w:hAnsi="仿宋" w:eastAsia="仿宋" w:cs="仿宋"/>
                <w:sz w:val="28"/>
                <w:szCs w:val="28"/>
                <w:lang w:bidi="ar"/>
              </w:rPr>
              <w:t>隆丰路</w:t>
            </w:r>
          </w:p>
        </w:tc>
        <w:tc>
          <w:tcPr>
            <w:tcW w:w="1160" w:type="pct"/>
            <w:tcBorders>
              <w:top w:val="single" w:color="000000" w:sz="4" w:space="0"/>
              <w:left w:val="single" w:color="000000" w:sz="4" w:space="0"/>
              <w:bottom w:val="single" w:color="000000" w:sz="4" w:space="0"/>
              <w:right w:val="single" w:color="000000" w:sz="4" w:space="0"/>
            </w:tcBorders>
            <w:noWrap w:val="0"/>
            <w:vAlign w:val="center"/>
          </w:tcPr>
          <w:p w14:paraId="4972B9E1">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24"/>
                <w:szCs w:val="24"/>
                <w:lang w:bidi="ar"/>
              </w:rPr>
            </w:pPr>
            <w:r>
              <w:rPr>
                <w:rFonts w:hint="eastAsia" w:ascii="仿宋" w:hAnsi="仿宋" w:eastAsia="仿宋" w:cs="仿宋"/>
                <w:sz w:val="24"/>
                <w:szCs w:val="24"/>
                <w:lang w:bidi="ar"/>
              </w:rPr>
              <w:t>西三环南延伸-南北一号路</w:t>
            </w:r>
          </w:p>
        </w:tc>
        <w:tc>
          <w:tcPr>
            <w:tcW w:w="946" w:type="pct"/>
            <w:tcBorders>
              <w:top w:val="single" w:color="000000" w:sz="4" w:space="0"/>
              <w:left w:val="single" w:color="000000" w:sz="4" w:space="0"/>
              <w:bottom w:val="single" w:color="000000" w:sz="4" w:space="0"/>
              <w:right w:val="single" w:color="000000" w:sz="4" w:space="0"/>
            </w:tcBorders>
            <w:noWrap w:val="0"/>
            <w:vAlign w:val="center"/>
          </w:tcPr>
          <w:p w14:paraId="76396447">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bidi="ar"/>
              </w:rPr>
            </w:pPr>
            <w:r>
              <w:rPr>
                <w:rFonts w:hint="eastAsia" w:ascii="仿宋" w:hAnsi="仿宋" w:eastAsia="仿宋" w:cs="仿宋"/>
                <w:sz w:val="32"/>
                <w:szCs w:val="32"/>
                <w:lang w:bidi="ar"/>
              </w:rPr>
              <w:t>880</w:t>
            </w:r>
          </w:p>
        </w:tc>
        <w:tc>
          <w:tcPr>
            <w:tcW w:w="1022" w:type="pct"/>
            <w:tcBorders>
              <w:top w:val="single" w:color="000000" w:sz="4" w:space="0"/>
              <w:left w:val="single" w:color="000000" w:sz="4" w:space="0"/>
              <w:bottom w:val="single" w:color="000000" w:sz="4" w:space="0"/>
              <w:right w:val="single" w:color="000000" w:sz="4" w:space="0"/>
            </w:tcBorders>
            <w:noWrap w:val="0"/>
            <w:vAlign w:val="center"/>
          </w:tcPr>
          <w:p w14:paraId="3A4D8744">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bidi="ar"/>
              </w:rPr>
            </w:pPr>
            <w:r>
              <w:rPr>
                <w:rFonts w:hint="eastAsia" w:ascii="仿宋" w:hAnsi="仿宋" w:eastAsia="仿宋" w:cs="仿宋"/>
                <w:sz w:val="32"/>
                <w:szCs w:val="32"/>
                <w:lang w:bidi="ar"/>
              </w:rPr>
              <w:t>6778</w:t>
            </w:r>
          </w:p>
        </w:tc>
        <w:tc>
          <w:tcPr>
            <w:tcW w:w="778" w:type="pct"/>
            <w:tcBorders>
              <w:top w:val="single" w:color="000000" w:sz="4" w:space="0"/>
              <w:left w:val="single" w:color="000000" w:sz="4" w:space="0"/>
              <w:bottom w:val="single" w:color="000000" w:sz="4" w:space="0"/>
              <w:right w:val="single" w:color="000000" w:sz="4" w:space="0"/>
            </w:tcBorders>
            <w:noWrap w:val="0"/>
            <w:vAlign w:val="center"/>
          </w:tcPr>
          <w:p w14:paraId="09633164">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28"/>
                <w:szCs w:val="28"/>
                <w:lang w:bidi="ar"/>
              </w:rPr>
            </w:pPr>
            <w:r>
              <w:rPr>
                <w:rFonts w:hint="eastAsia" w:ascii="仿宋" w:hAnsi="仿宋" w:eastAsia="仿宋" w:cs="仿宋"/>
                <w:sz w:val="28"/>
                <w:szCs w:val="28"/>
                <w:lang w:bidi="ar"/>
              </w:rPr>
              <w:t>二级</w:t>
            </w:r>
          </w:p>
        </w:tc>
      </w:tr>
      <w:tr w14:paraId="4BA293E4">
        <w:tblPrEx>
          <w:tblCellMar>
            <w:top w:w="0" w:type="dxa"/>
            <w:left w:w="108" w:type="dxa"/>
            <w:bottom w:w="0" w:type="dxa"/>
            <w:right w:w="108" w:type="dxa"/>
          </w:tblCellMar>
        </w:tblPrEx>
        <w:trPr>
          <w:trHeight w:val="1490" w:hRule="atLeast"/>
          <w:jc w:val="center"/>
        </w:trPr>
        <w:tc>
          <w:tcPr>
            <w:tcW w:w="359" w:type="pct"/>
            <w:tcBorders>
              <w:top w:val="single" w:color="000000" w:sz="4" w:space="0"/>
              <w:left w:val="single" w:color="000000" w:sz="4" w:space="0"/>
              <w:bottom w:val="single" w:color="000000" w:sz="4" w:space="0"/>
              <w:right w:val="single" w:color="000000" w:sz="4" w:space="0"/>
            </w:tcBorders>
            <w:noWrap w:val="0"/>
            <w:vAlign w:val="center"/>
          </w:tcPr>
          <w:p w14:paraId="6F5A0804">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bidi="ar"/>
              </w:rPr>
            </w:pPr>
            <w:r>
              <w:rPr>
                <w:rFonts w:hint="eastAsia" w:ascii="仿宋" w:hAnsi="仿宋" w:eastAsia="仿宋" w:cs="仿宋"/>
                <w:sz w:val="32"/>
                <w:szCs w:val="32"/>
                <w:lang w:bidi="ar"/>
              </w:rPr>
              <w:t>7</w:t>
            </w:r>
          </w:p>
        </w:tc>
        <w:tc>
          <w:tcPr>
            <w:tcW w:w="732" w:type="pct"/>
            <w:tcBorders>
              <w:top w:val="single" w:color="000000" w:sz="4" w:space="0"/>
              <w:left w:val="single" w:color="000000" w:sz="4" w:space="0"/>
              <w:bottom w:val="single" w:color="000000" w:sz="4" w:space="0"/>
              <w:right w:val="single" w:color="000000" w:sz="4" w:space="0"/>
            </w:tcBorders>
            <w:noWrap w:val="0"/>
            <w:vAlign w:val="center"/>
          </w:tcPr>
          <w:p w14:paraId="10EF02A3">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28"/>
                <w:szCs w:val="28"/>
                <w:lang w:bidi="ar"/>
              </w:rPr>
            </w:pPr>
            <w:r>
              <w:rPr>
                <w:rFonts w:hint="eastAsia" w:ascii="仿宋" w:hAnsi="仿宋" w:eastAsia="仿宋" w:cs="仿宋"/>
                <w:sz w:val="28"/>
                <w:szCs w:val="28"/>
                <w:lang w:bidi="ar"/>
              </w:rPr>
              <w:t>乾元路</w:t>
            </w:r>
          </w:p>
        </w:tc>
        <w:tc>
          <w:tcPr>
            <w:tcW w:w="1160" w:type="pct"/>
            <w:tcBorders>
              <w:top w:val="single" w:color="000000" w:sz="4" w:space="0"/>
              <w:left w:val="single" w:color="000000" w:sz="4" w:space="0"/>
              <w:bottom w:val="single" w:color="000000" w:sz="4" w:space="0"/>
              <w:right w:val="single" w:color="000000" w:sz="4" w:space="0"/>
            </w:tcBorders>
            <w:noWrap w:val="0"/>
            <w:vAlign w:val="center"/>
          </w:tcPr>
          <w:p w14:paraId="5BF184D7">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24"/>
                <w:szCs w:val="24"/>
                <w:lang w:bidi="ar"/>
              </w:rPr>
            </w:pPr>
            <w:r>
              <w:rPr>
                <w:rFonts w:hint="eastAsia" w:ascii="仿宋" w:hAnsi="仿宋" w:eastAsia="仿宋" w:cs="仿宋"/>
                <w:sz w:val="24"/>
                <w:szCs w:val="24"/>
                <w:lang w:bidi="ar"/>
              </w:rPr>
              <w:t>东西四号路-东西八号路</w:t>
            </w:r>
          </w:p>
        </w:tc>
        <w:tc>
          <w:tcPr>
            <w:tcW w:w="946" w:type="pct"/>
            <w:tcBorders>
              <w:top w:val="single" w:color="000000" w:sz="4" w:space="0"/>
              <w:left w:val="single" w:color="000000" w:sz="4" w:space="0"/>
              <w:bottom w:val="single" w:color="000000" w:sz="4" w:space="0"/>
              <w:right w:val="single" w:color="000000" w:sz="4" w:space="0"/>
            </w:tcBorders>
            <w:noWrap w:val="0"/>
            <w:vAlign w:val="center"/>
          </w:tcPr>
          <w:p w14:paraId="61EE675F">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bidi="ar"/>
              </w:rPr>
            </w:pPr>
            <w:r>
              <w:rPr>
                <w:rFonts w:hint="eastAsia" w:ascii="仿宋" w:hAnsi="仿宋" w:eastAsia="仿宋" w:cs="仿宋"/>
                <w:sz w:val="32"/>
                <w:szCs w:val="32"/>
                <w:lang w:bidi="ar"/>
              </w:rPr>
              <w:t>1883.129</w:t>
            </w:r>
          </w:p>
        </w:tc>
        <w:tc>
          <w:tcPr>
            <w:tcW w:w="1022" w:type="pct"/>
            <w:tcBorders>
              <w:top w:val="single" w:color="000000" w:sz="4" w:space="0"/>
              <w:left w:val="single" w:color="000000" w:sz="4" w:space="0"/>
              <w:bottom w:val="single" w:color="000000" w:sz="4" w:space="0"/>
              <w:right w:val="single" w:color="000000" w:sz="4" w:space="0"/>
            </w:tcBorders>
            <w:noWrap w:val="0"/>
            <w:vAlign w:val="center"/>
          </w:tcPr>
          <w:p w14:paraId="3377F68F">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bidi="ar"/>
              </w:rPr>
            </w:pPr>
            <w:r>
              <w:rPr>
                <w:rFonts w:hint="eastAsia" w:ascii="仿宋" w:hAnsi="仿宋" w:eastAsia="仿宋" w:cs="仿宋"/>
                <w:sz w:val="32"/>
                <w:szCs w:val="32"/>
                <w:lang w:bidi="ar"/>
              </w:rPr>
              <w:t>10503.2</w:t>
            </w:r>
          </w:p>
        </w:tc>
        <w:tc>
          <w:tcPr>
            <w:tcW w:w="778" w:type="pct"/>
            <w:tcBorders>
              <w:top w:val="single" w:color="000000" w:sz="4" w:space="0"/>
              <w:left w:val="single" w:color="000000" w:sz="4" w:space="0"/>
              <w:bottom w:val="single" w:color="000000" w:sz="4" w:space="0"/>
              <w:right w:val="single" w:color="000000" w:sz="4" w:space="0"/>
            </w:tcBorders>
            <w:noWrap w:val="0"/>
            <w:vAlign w:val="center"/>
          </w:tcPr>
          <w:p w14:paraId="7CED52DE">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28"/>
                <w:szCs w:val="28"/>
                <w:lang w:bidi="ar"/>
              </w:rPr>
            </w:pPr>
            <w:r>
              <w:rPr>
                <w:rFonts w:hint="eastAsia" w:ascii="仿宋" w:hAnsi="仿宋" w:eastAsia="仿宋" w:cs="仿宋"/>
                <w:sz w:val="28"/>
                <w:szCs w:val="28"/>
                <w:lang w:bidi="ar"/>
              </w:rPr>
              <w:t>二级</w:t>
            </w:r>
          </w:p>
        </w:tc>
      </w:tr>
      <w:tr w14:paraId="3AB0F0AB">
        <w:tblPrEx>
          <w:tblCellMar>
            <w:top w:w="0" w:type="dxa"/>
            <w:left w:w="108" w:type="dxa"/>
            <w:bottom w:w="0" w:type="dxa"/>
            <w:right w:w="108" w:type="dxa"/>
          </w:tblCellMar>
        </w:tblPrEx>
        <w:trPr>
          <w:trHeight w:val="841" w:hRule="atLeast"/>
          <w:jc w:val="center"/>
        </w:trPr>
        <w:tc>
          <w:tcPr>
            <w:tcW w:w="359" w:type="pct"/>
            <w:tcBorders>
              <w:top w:val="single" w:color="000000" w:sz="4" w:space="0"/>
              <w:left w:val="single" w:color="000000" w:sz="4" w:space="0"/>
              <w:bottom w:val="single" w:color="000000" w:sz="4" w:space="0"/>
              <w:right w:val="single" w:color="000000" w:sz="4" w:space="0"/>
            </w:tcBorders>
            <w:noWrap w:val="0"/>
            <w:vAlign w:val="center"/>
          </w:tcPr>
          <w:p w14:paraId="52D6622C">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bidi="ar"/>
              </w:rPr>
            </w:pPr>
            <w:r>
              <w:rPr>
                <w:rFonts w:hint="eastAsia" w:ascii="仿宋" w:hAnsi="仿宋" w:eastAsia="仿宋" w:cs="仿宋"/>
                <w:sz w:val="32"/>
                <w:szCs w:val="32"/>
                <w:lang w:bidi="ar"/>
              </w:rPr>
              <w:t>8</w:t>
            </w:r>
          </w:p>
        </w:tc>
        <w:tc>
          <w:tcPr>
            <w:tcW w:w="732" w:type="pct"/>
            <w:tcBorders>
              <w:top w:val="single" w:color="000000" w:sz="4" w:space="0"/>
              <w:left w:val="single" w:color="000000" w:sz="4" w:space="0"/>
              <w:bottom w:val="single" w:color="000000" w:sz="4" w:space="0"/>
              <w:right w:val="single" w:color="000000" w:sz="4" w:space="0"/>
            </w:tcBorders>
            <w:noWrap w:val="0"/>
            <w:vAlign w:val="center"/>
          </w:tcPr>
          <w:p w14:paraId="21C2CED8">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28"/>
                <w:szCs w:val="28"/>
                <w:lang w:bidi="ar"/>
              </w:rPr>
            </w:pPr>
            <w:r>
              <w:rPr>
                <w:rFonts w:hint="eastAsia" w:ascii="仿宋" w:hAnsi="仿宋" w:eastAsia="仿宋" w:cs="仿宋"/>
                <w:sz w:val="28"/>
                <w:szCs w:val="28"/>
                <w:lang w:bidi="ar"/>
              </w:rPr>
              <w:t>竹南路</w:t>
            </w:r>
          </w:p>
        </w:tc>
        <w:tc>
          <w:tcPr>
            <w:tcW w:w="1160" w:type="pct"/>
            <w:tcBorders>
              <w:top w:val="single" w:color="000000" w:sz="4" w:space="0"/>
              <w:left w:val="single" w:color="000000" w:sz="4" w:space="0"/>
              <w:bottom w:val="single" w:color="000000" w:sz="4" w:space="0"/>
              <w:right w:val="single" w:color="000000" w:sz="4" w:space="0"/>
            </w:tcBorders>
            <w:noWrap w:val="0"/>
            <w:vAlign w:val="center"/>
          </w:tcPr>
          <w:p w14:paraId="73BF38A9">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24"/>
                <w:szCs w:val="24"/>
                <w:lang w:bidi="ar"/>
              </w:rPr>
            </w:pPr>
            <w:r>
              <w:rPr>
                <w:rFonts w:hint="eastAsia" w:ascii="仿宋" w:hAnsi="仿宋" w:eastAsia="仿宋" w:cs="仿宋"/>
                <w:sz w:val="24"/>
                <w:szCs w:val="24"/>
                <w:lang w:bidi="ar"/>
              </w:rPr>
              <w:t>西太路-西沣路</w:t>
            </w:r>
          </w:p>
        </w:tc>
        <w:tc>
          <w:tcPr>
            <w:tcW w:w="946" w:type="pct"/>
            <w:tcBorders>
              <w:top w:val="single" w:color="000000" w:sz="4" w:space="0"/>
              <w:left w:val="single" w:color="000000" w:sz="4" w:space="0"/>
              <w:bottom w:val="single" w:color="000000" w:sz="4" w:space="0"/>
              <w:right w:val="single" w:color="000000" w:sz="4" w:space="0"/>
            </w:tcBorders>
            <w:noWrap w:val="0"/>
            <w:vAlign w:val="center"/>
          </w:tcPr>
          <w:p w14:paraId="431FC52D">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bidi="ar"/>
              </w:rPr>
            </w:pPr>
            <w:r>
              <w:rPr>
                <w:rFonts w:hint="eastAsia" w:ascii="仿宋" w:hAnsi="仿宋" w:eastAsia="仿宋" w:cs="仿宋"/>
                <w:sz w:val="32"/>
                <w:szCs w:val="32"/>
                <w:lang w:bidi="ar"/>
              </w:rPr>
              <w:t>1800</w:t>
            </w:r>
          </w:p>
        </w:tc>
        <w:tc>
          <w:tcPr>
            <w:tcW w:w="1022" w:type="pct"/>
            <w:tcBorders>
              <w:top w:val="single" w:color="000000" w:sz="4" w:space="0"/>
              <w:left w:val="single" w:color="000000" w:sz="4" w:space="0"/>
              <w:bottom w:val="single" w:color="000000" w:sz="4" w:space="0"/>
              <w:right w:val="single" w:color="000000" w:sz="4" w:space="0"/>
            </w:tcBorders>
            <w:noWrap w:val="0"/>
            <w:vAlign w:val="center"/>
          </w:tcPr>
          <w:p w14:paraId="33A8EBA1">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bidi="ar"/>
              </w:rPr>
            </w:pPr>
            <w:r>
              <w:rPr>
                <w:rFonts w:hint="eastAsia" w:ascii="仿宋" w:hAnsi="仿宋" w:eastAsia="仿宋" w:cs="仿宋"/>
                <w:sz w:val="32"/>
                <w:szCs w:val="32"/>
                <w:lang w:bidi="ar"/>
              </w:rPr>
              <w:t>2690</w:t>
            </w:r>
          </w:p>
        </w:tc>
        <w:tc>
          <w:tcPr>
            <w:tcW w:w="778" w:type="pct"/>
            <w:tcBorders>
              <w:top w:val="single" w:color="000000" w:sz="4" w:space="0"/>
              <w:left w:val="single" w:color="000000" w:sz="4" w:space="0"/>
              <w:bottom w:val="single" w:color="000000" w:sz="4" w:space="0"/>
              <w:right w:val="single" w:color="000000" w:sz="4" w:space="0"/>
            </w:tcBorders>
            <w:noWrap w:val="0"/>
            <w:vAlign w:val="center"/>
          </w:tcPr>
          <w:p w14:paraId="6BC17C11">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28"/>
                <w:szCs w:val="28"/>
                <w:lang w:bidi="ar"/>
              </w:rPr>
            </w:pPr>
            <w:r>
              <w:rPr>
                <w:rFonts w:hint="eastAsia" w:ascii="仿宋" w:hAnsi="仿宋" w:eastAsia="仿宋" w:cs="仿宋"/>
                <w:sz w:val="28"/>
                <w:szCs w:val="28"/>
                <w:lang w:bidi="ar"/>
              </w:rPr>
              <w:t>二级</w:t>
            </w:r>
          </w:p>
        </w:tc>
      </w:tr>
      <w:tr w14:paraId="754739DD">
        <w:tblPrEx>
          <w:tblCellMar>
            <w:top w:w="0" w:type="dxa"/>
            <w:left w:w="108" w:type="dxa"/>
            <w:bottom w:w="0" w:type="dxa"/>
            <w:right w:w="108" w:type="dxa"/>
          </w:tblCellMar>
        </w:tblPrEx>
        <w:trPr>
          <w:trHeight w:val="436" w:hRule="atLeast"/>
          <w:jc w:val="center"/>
        </w:trPr>
        <w:tc>
          <w:tcPr>
            <w:tcW w:w="2252" w:type="pct"/>
            <w:gridSpan w:val="3"/>
            <w:tcBorders>
              <w:top w:val="single" w:color="000000" w:sz="4" w:space="0"/>
              <w:left w:val="single" w:color="000000" w:sz="4" w:space="0"/>
              <w:bottom w:val="single" w:color="000000" w:sz="4" w:space="0"/>
              <w:right w:val="single" w:color="000000" w:sz="4" w:space="0"/>
            </w:tcBorders>
            <w:noWrap w:val="0"/>
            <w:vAlign w:val="center"/>
          </w:tcPr>
          <w:p w14:paraId="621FB4F4">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bidi="ar"/>
              </w:rPr>
            </w:pPr>
            <w:r>
              <w:rPr>
                <w:rFonts w:hint="eastAsia" w:ascii="仿宋" w:hAnsi="仿宋" w:eastAsia="仿宋" w:cs="仿宋"/>
                <w:sz w:val="32"/>
                <w:szCs w:val="32"/>
                <w:lang w:bidi="ar"/>
              </w:rPr>
              <w:t>合计：</w:t>
            </w:r>
          </w:p>
        </w:tc>
        <w:tc>
          <w:tcPr>
            <w:tcW w:w="946" w:type="pct"/>
            <w:tcBorders>
              <w:top w:val="single" w:color="000000" w:sz="4" w:space="0"/>
              <w:left w:val="single" w:color="000000" w:sz="4" w:space="0"/>
              <w:bottom w:val="single" w:color="000000" w:sz="4" w:space="0"/>
              <w:right w:val="single" w:color="000000" w:sz="4" w:space="0"/>
            </w:tcBorders>
            <w:noWrap w:val="0"/>
            <w:vAlign w:val="center"/>
          </w:tcPr>
          <w:p w14:paraId="4F9F033B">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val="en-US" w:eastAsia="zh-CN" w:bidi="ar"/>
              </w:rPr>
            </w:pPr>
            <w:r>
              <w:rPr>
                <w:rFonts w:hint="eastAsia" w:ascii="仿宋" w:hAnsi="仿宋" w:eastAsia="仿宋" w:cs="仿宋"/>
                <w:sz w:val="32"/>
                <w:szCs w:val="32"/>
                <w:lang w:val="en-US" w:eastAsia="zh-CN" w:bidi="ar"/>
              </w:rPr>
              <w:t>18353.129</w:t>
            </w:r>
          </w:p>
        </w:tc>
        <w:tc>
          <w:tcPr>
            <w:tcW w:w="1022" w:type="pct"/>
            <w:tcBorders>
              <w:top w:val="single" w:color="000000" w:sz="4" w:space="0"/>
              <w:left w:val="single" w:color="000000" w:sz="4" w:space="0"/>
              <w:bottom w:val="single" w:color="000000" w:sz="4" w:space="0"/>
              <w:right w:val="single" w:color="000000" w:sz="4" w:space="0"/>
            </w:tcBorders>
            <w:noWrap w:val="0"/>
            <w:vAlign w:val="center"/>
          </w:tcPr>
          <w:p w14:paraId="5EAC35F5">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bidi="ar"/>
              </w:rPr>
            </w:pPr>
            <w:r>
              <w:rPr>
                <w:rFonts w:hint="eastAsia" w:ascii="仿宋" w:hAnsi="仿宋" w:eastAsia="仿宋" w:cs="仿宋"/>
                <w:sz w:val="32"/>
                <w:szCs w:val="32"/>
                <w:lang w:bidi="ar"/>
              </w:rPr>
              <w:fldChar w:fldCharType="begin"/>
            </w:r>
            <w:r>
              <w:rPr>
                <w:rFonts w:hint="eastAsia" w:ascii="仿宋" w:hAnsi="仿宋" w:eastAsia="仿宋" w:cs="仿宋"/>
                <w:sz w:val="32"/>
                <w:szCs w:val="32"/>
                <w:lang w:bidi="ar"/>
              </w:rPr>
              <w:instrText xml:space="preserve"> = sum(E3:E10) \* MERGEFORMAT </w:instrText>
            </w:r>
            <w:r>
              <w:rPr>
                <w:rFonts w:hint="eastAsia" w:ascii="仿宋" w:hAnsi="仿宋" w:eastAsia="仿宋" w:cs="仿宋"/>
                <w:sz w:val="32"/>
                <w:szCs w:val="32"/>
                <w:lang w:bidi="ar"/>
              </w:rPr>
              <w:fldChar w:fldCharType="separate"/>
            </w:r>
            <w:r>
              <w:rPr>
                <w:rFonts w:hint="eastAsia" w:ascii="仿宋" w:hAnsi="仿宋" w:eastAsia="仿宋" w:cs="仿宋"/>
                <w:sz w:val="32"/>
                <w:szCs w:val="32"/>
                <w:lang w:bidi="ar"/>
              </w:rPr>
              <w:t>86072.2</w:t>
            </w:r>
            <w:r>
              <w:rPr>
                <w:rFonts w:hint="eastAsia" w:ascii="仿宋" w:hAnsi="仿宋" w:eastAsia="仿宋" w:cs="仿宋"/>
                <w:sz w:val="32"/>
                <w:szCs w:val="32"/>
                <w:lang w:bidi="ar"/>
              </w:rPr>
              <w:fldChar w:fldCharType="end"/>
            </w:r>
          </w:p>
        </w:tc>
        <w:tc>
          <w:tcPr>
            <w:tcW w:w="778" w:type="pct"/>
            <w:tcBorders>
              <w:top w:val="single" w:color="000000" w:sz="4" w:space="0"/>
              <w:left w:val="single" w:color="000000" w:sz="4" w:space="0"/>
              <w:bottom w:val="single" w:color="000000" w:sz="4" w:space="0"/>
              <w:right w:val="single" w:color="000000" w:sz="4" w:space="0"/>
            </w:tcBorders>
            <w:noWrap w:val="0"/>
            <w:vAlign w:val="center"/>
          </w:tcPr>
          <w:p w14:paraId="17BB6DF6">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center"/>
              <w:rPr>
                <w:rFonts w:hint="eastAsia" w:ascii="仿宋" w:hAnsi="仿宋" w:eastAsia="仿宋" w:cs="仿宋"/>
                <w:sz w:val="32"/>
                <w:szCs w:val="32"/>
                <w:lang w:bidi="ar"/>
              </w:rPr>
            </w:pPr>
          </w:p>
        </w:tc>
      </w:tr>
    </w:tbl>
    <w:p w14:paraId="05898532">
      <w:pPr>
        <w:spacing w:line="86" w:lineRule="exact"/>
        <w:rPr>
          <w:rFonts w:hint="eastAsia" w:ascii="仿宋" w:hAnsi="仿宋" w:eastAsia="仿宋" w:cs="仿宋"/>
          <w:color w:val="auto"/>
          <w:sz w:val="32"/>
          <w:szCs w:val="32"/>
        </w:rPr>
      </w:pPr>
    </w:p>
    <w:p w14:paraId="793BB003">
      <w:pPr>
        <w:rPr>
          <w:rFonts w:hint="eastAsia" w:ascii="仿宋" w:hAnsi="仿宋" w:eastAsia="仿宋" w:cs="仿宋"/>
          <w:color w:val="auto"/>
          <w:sz w:val="32"/>
          <w:szCs w:val="32"/>
        </w:rPr>
      </w:pPr>
    </w:p>
    <w:p w14:paraId="01DC5031">
      <w:pPr>
        <w:keepNext w:val="0"/>
        <w:keepLines w:val="0"/>
        <w:pageBreakBefore w:val="0"/>
        <w:widowControl w:val="0"/>
        <w:kinsoku/>
        <w:wordWrap/>
        <w:overflowPunct/>
        <w:topLinePunct w:val="0"/>
        <w:bidi w:val="0"/>
        <w:spacing w:line="560" w:lineRule="exact"/>
        <w:ind w:left="47" w:firstLine="640" w:firstLineChars="200"/>
        <w:outlineLvl w:val="1"/>
        <w:rPr>
          <w:rFonts w:hint="eastAsia" w:ascii="黑体" w:hAnsi="黑体" w:eastAsia="黑体" w:cs="黑体"/>
          <w:color w:val="auto"/>
          <w:sz w:val="32"/>
          <w:szCs w:val="32"/>
        </w:rPr>
      </w:pPr>
      <w:r>
        <w:rPr>
          <w:rFonts w:hint="eastAsia" w:ascii="黑体" w:hAnsi="黑体" w:eastAsia="黑体" w:cs="黑体"/>
          <w:color w:val="auto"/>
          <w:sz w:val="32"/>
          <w:szCs w:val="32"/>
        </w:rPr>
        <w:t>第四条、协议金额</w:t>
      </w:r>
    </w:p>
    <w:p w14:paraId="27CF2381">
      <w:pPr>
        <w:keepNext w:val="0"/>
        <w:keepLines w:val="0"/>
        <w:pageBreakBefore w:val="0"/>
        <w:widowControl w:val="0"/>
        <w:kinsoku/>
        <w:wordWrap/>
        <w:overflowPunct/>
        <w:topLinePunct w:val="0"/>
        <w:bidi w:val="0"/>
        <w:spacing w:line="560" w:lineRule="exact"/>
        <w:ind w:left="71" w:right="96" w:firstLine="640" w:firstLineChars="200"/>
        <w:rPr>
          <w:rFonts w:hint="eastAsia" w:ascii="仿宋" w:hAnsi="仿宋" w:eastAsia="仿宋" w:cs="仿宋"/>
          <w:b/>
          <w:bCs/>
          <w:color w:val="auto"/>
          <w:sz w:val="32"/>
          <w:szCs w:val="32"/>
          <w:lang w:val="en-US" w:eastAsia="zh-CN"/>
        </w:rPr>
      </w:pPr>
      <w:r>
        <w:rPr>
          <w:rFonts w:hint="eastAsia" w:ascii="仿宋" w:hAnsi="仿宋" w:eastAsia="仿宋" w:cs="仿宋"/>
          <w:color w:val="auto"/>
          <w:sz w:val="32"/>
          <w:szCs w:val="32"/>
        </w:rPr>
        <w:t>1、协议金额：</w:t>
      </w:r>
      <w:r>
        <w:rPr>
          <w:rFonts w:hint="eastAsia" w:ascii="仿宋" w:hAnsi="仿宋" w:eastAsia="仿宋" w:cs="仿宋"/>
          <w:b/>
          <w:bCs/>
          <w:color w:val="auto"/>
          <w:sz w:val="32"/>
          <w:szCs w:val="32"/>
        </w:rPr>
        <w:t>¥</w:t>
      </w:r>
      <w:r>
        <w:rPr>
          <w:rFonts w:hint="eastAsia" w:ascii="仿宋" w:hAnsi="仿宋" w:eastAsia="仿宋" w:cs="仿宋"/>
          <w:b/>
          <w:bCs/>
          <w:color w:val="auto"/>
          <w:sz w:val="32"/>
          <w:szCs w:val="32"/>
          <w:u w:val="single"/>
        </w:rPr>
        <w:t xml:space="preserve"> </w:t>
      </w:r>
      <w:r>
        <w:rPr>
          <w:rFonts w:hint="eastAsia" w:ascii="仿宋" w:hAnsi="仿宋" w:eastAsia="仿宋" w:cs="仿宋"/>
          <w:b/>
          <w:bCs/>
          <w:color w:val="auto"/>
          <w:sz w:val="32"/>
          <w:szCs w:val="32"/>
          <w:u w:val="single"/>
          <w:lang w:val="en-US" w:eastAsia="zh-CN"/>
        </w:rPr>
        <w:t xml:space="preserve">       </w:t>
      </w:r>
      <w:r>
        <w:rPr>
          <w:rFonts w:hint="eastAsia" w:ascii="仿宋" w:hAnsi="仿宋" w:eastAsia="仿宋" w:cs="仿宋"/>
          <w:color w:val="auto"/>
          <w:sz w:val="32"/>
          <w:szCs w:val="32"/>
        </w:rPr>
        <w:t>(</w:t>
      </w:r>
      <w:r>
        <w:rPr>
          <w:rFonts w:hint="eastAsia" w:ascii="仿宋" w:hAnsi="仿宋" w:eastAsia="仿宋" w:cs="仿宋"/>
          <w:b/>
          <w:bCs/>
          <w:color w:val="auto"/>
          <w:sz w:val="32"/>
          <w:szCs w:val="32"/>
        </w:rPr>
        <w:t>大写：</w:t>
      </w:r>
      <w:r>
        <w:rPr>
          <w:rFonts w:hint="eastAsia" w:ascii="仿宋" w:hAnsi="仿宋" w:eastAsia="仿宋" w:cs="仿宋"/>
          <w:b/>
          <w:bCs/>
          <w:color w:val="auto"/>
          <w:sz w:val="32"/>
          <w:szCs w:val="32"/>
          <w:u w:val="single"/>
          <w:lang w:val="en-US" w:eastAsia="zh-CN"/>
        </w:rPr>
        <w:t xml:space="preserve">      </w:t>
      </w:r>
      <w:r>
        <w:rPr>
          <w:rFonts w:hint="eastAsia" w:ascii="仿宋" w:hAnsi="仿宋" w:eastAsia="仿宋" w:cs="仿宋"/>
          <w:b/>
          <w:bCs/>
          <w:color w:val="auto"/>
          <w:sz w:val="32"/>
          <w:szCs w:val="32"/>
        </w:rPr>
        <w:t>)</w:t>
      </w:r>
    </w:p>
    <w:p w14:paraId="08A481DD">
      <w:pPr>
        <w:keepNext w:val="0"/>
        <w:keepLines w:val="0"/>
        <w:pageBreakBefore w:val="0"/>
        <w:widowControl w:val="0"/>
        <w:numPr>
          <w:ilvl w:val="0"/>
          <w:numId w:val="0"/>
        </w:numPr>
        <w:kinsoku/>
        <w:wordWrap/>
        <w:overflowPunct/>
        <w:topLinePunct w:val="0"/>
        <w:autoSpaceDE/>
        <w:autoSpaceDN/>
        <w:bidi w:val="0"/>
        <w:spacing w:line="560" w:lineRule="exact"/>
        <w:ind w:right="0" w:rightChars="0" w:firstLine="643"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lang w:val="en-US" w:eastAsia="zh-CN"/>
        </w:rPr>
        <w:t>1</w:t>
      </w:r>
      <w:r>
        <w:rPr>
          <w:rFonts w:hint="eastAsia" w:ascii="仿宋" w:hAnsi="仿宋" w:eastAsia="仿宋" w:cs="仿宋"/>
          <w:b/>
          <w:bCs/>
          <w:color w:val="auto"/>
          <w:sz w:val="32"/>
          <w:szCs w:val="32"/>
          <w:highlight w:val="none"/>
          <w:lang w:eastAsia="zh-CN"/>
        </w:rPr>
        <w:t>）金额构成：</w:t>
      </w:r>
      <w:r>
        <w:rPr>
          <w:rFonts w:hint="eastAsia" w:ascii="仿宋" w:hAnsi="仿宋" w:eastAsia="仿宋" w:cs="仿宋"/>
          <w:color w:val="auto"/>
          <w:sz w:val="32"/>
          <w:szCs w:val="32"/>
          <w:highlight w:val="none"/>
          <w:lang w:eastAsia="zh-CN"/>
        </w:rPr>
        <w:t>合同金额</w:t>
      </w:r>
      <w:r>
        <w:rPr>
          <w:rFonts w:hint="eastAsia" w:ascii="仿宋" w:hAnsi="仿宋" w:eastAsia="仿宋" w:cs="仿宋"/>
          <w:color w:val="auto"/>
          <w:sz w:val="32"/>
          <w:szCs w:val="32"/>
          <w:highlight w:val="none"/>
        </w:rPr>
        <w:t>为本项目招标文件中所提出的工作范围及要求的全部内容，并达到</w:t>
      </w:r>
      <w:r>
        <w:rPr>
          <w:rFonts w:hint="eastAsia" w:ascii="仿宋" w:hAnsi="仿宋" w:eastAsia="仿宋" w:cs="仿宋"/>
          <w:color w:val="auto"/>
          <w:sz w:val="32"/>
          <w:szCs w:val="32"/>
          <w:highlight w:val="none"/>
          <w:lang w:eastAsia="zh-CN"/>
        </w:rPr>
        <w:t>相关政策规定</w:t>
      </w:r>
      <w:r>
        <w:rPr>
          <w:rFonts w:hint="eastAsia" w:ascii="仿宋" w:hAnsi="仿宋" w:eastAsia="仿宋" w:cs="仿宋"/>
          <w:color w:val="auto"/>
          <w:sz w:val="32"/>
          <w:szCs w:val="32"/>
          <w:highlight w:val="none"/>
        </w:rPr>
        <w:t>及</w:t>
      </w:r>
      <w:r>
        <w:rPr>
          <w:rFonts w:hint="eastAsia" w:ascii="仿宋" w:hAnsi="仿宋" w:eastAsia="仿宋" w:cs="仿宋"/>
          <w:color w:val="auto"/>
          <w:sz w:val="32"/>
          <w:szCs w:val="32"/>
          <w:highlight w:val="none"/>
          <w:lang w:val="en-US" w:eastAsia="zh-CN"/>
        </w:rPr>
        <w:t>甲方</w:t>
      </w:r>
      <w:r>
        <w:rPr>
          <w:rFonts w:hint="eastAsia" w:ascii="仿宋" w:hAnsi="仿宋" w:eastAsia="仿宋" w:cs="仿宋"/>
          <w:color w:val="auto"/>
          <w:sz w:val="32"/>
          <w:szCs w:val="32"/>
          <w:highlight w:val="none"/>
        </w:rPr>
        <w:t>验收标准而产生的所有费用，包括人员费用（人员工资、社会劳动保险、人身意外保险、劳保福利、周末法定节假日费用、夏季降温费及高温补助费、冬季取暖及补助费</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工服费）、</w:t>
      </w:r>
      <w:r>
        <w:rPr>
          <w:rFonts w:hint="eastAsia" w:ascii="仿宋" w:hAnsi="仿宋" w:eastAsia="仿宋" w:cs="仿宋"/>
          <w:color w:val="auto"/>
          <w:sz w:val="32"/>
          <w:szCs w:val="32"/>
          <w:highlight w:val="none"/>
        </w:rPr>
        <w:t>配置劳动工具</w:t>
      </w:r>
      <w:r>
        <w:rPr>
          <w:rFonts w:hint="eastAsia" w:ascii="仿宋" w:hAnsi="仿宋" w:eastAsia="仿宋" w:cs="仿宋"/>
          <w:color w:val="auto"/>
          <w:sz w:val="32"/>
          <w:szCs w:val="32"/>
          <w:highlight w:val="none"/>
          <w:lang w:val="en-US" w:eastAsia="zh-CN"/>
        </w:rPr>
        <w:t>费、</w:t>
      </w:r>
      <w:r>
        <w:rPr>
          <w:rFonts w:hint="eastAsia" w:ascii="仿宋" w:hAnsi="仿宋" w:eastAsia="仿宋" w:cs="仿宋"/>
          <w:color w:val="auto"/>
          <w:sz w:val="32"/>
          <w:szCs w:val="32"/>
          <w:highlight w:val="none"/>
        </w:rPr>
        <w:t>设备配置及运营维护</w:t>
      </w:r>
      <w:r>
        <w:rPr>
          <w:rFonts w:hint="eastAsia" w:ascii="仿宋" w:hAnsi="仿宋" w:eastAsia="仿宋" w:cs="仿宋"/>
          <w:color w:val="auto"/>
          <w:sz w:val="32"/>
          <w:szCs w:val="32"/>
          <w:highlight w:val="none"/>
          <w:lang w:val="en-US" w:eastAsia="zh-CN"/>
        </w:rPr>
        <w:t>费</w:t>
      </w:r>
      <w:r>
        <w:rPr>
          <w:rFonts w:hint="eastAsia" w:ascii="仿宋" w:hAnsi="仿宋" w:eastAsia="仿宋" w:cs="仿宋"/>
          <w:color w:val="auto"/>
          <w:sz w:val="32"/>
          <w:szCs w:val="32"/>
          <w:highlight w:val="none"/>
        </w:rPr>
        <w:t>（清扫保洁车辆加油、维修、水费、电费、保险、</w:t>
      </w:r>
      <w:r>
        <w:rPr>
          <w:rFonts w:hint="eastAsia" w:ascii="仿宋" w:hAnsi="仿宋" w:eastAsia="仿宋" w:cs="仿宋"/>
          <w:color w:val="auto"/>
          <w:sz w:val="32"/>
          <w:szCs w:val="32"/>
          <w:highlight w:val="none"/>
          <w:lang w:val="en-US" w:eastAsia="zh-CN"/>
        </w:rPr>
        <w:t>审车、耗材</w:t>
      </w:r>
      <w:r>
        <w:rPr>
          <w:rFonts w:hint="eastAsia" w:ascii="仿宋" w:hAnsi="仿宋" w:eastAsia="仿宋" w:cs="仿宋"/>
          <w:color w:val="auto"/>
          <w:sz w:val="32"/>
          <w:szCs w:val="32"/>
          <w:highlight w:val="none"/>
        </w:rPr>
        <w:t>、带车作业造成的等一切运行费用成本费用，加水点维修费用</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绿化养护用水费、树木安全事故保险及赔偿费、车辆及机械使用相关费用、设施设备养护维修费、农药化肥养护用品费、垃圾清运费，</w:t>
      </w:r>
      <w:r>
        <w:rPr>
          <w:rFonts w:hint="eastAsia" w:ascii="仿宋" w:hAnsi="仿宋" w:eastAsia="仿宋" w:cs="仿宋"/>
          <w:color w:val="auto"/>
          <w:sz w:val="32"/>
          <w:szCs w:val="32"/>
          <w:highlight w:val="none"/>
        </w:rPr>
        <w:t>一切因安全事故产生的费用</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招标代理服务费、利润、税金、风险等本项目所需的全部费用。</w:t>
      </w:r>
    </w:p>
    <w:p w14:paraId="5D00EDE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rightChars="0" w:firstLine="643" w:firstLineChars="200"/>
        <w:textAlignment w:val="auto"/>
        <w:rPr>
          <w:rFonts w:hint="eastAsia" w:ascii="仿宋" w:hAnsi="仿宋" w:eastAsia="仿宋" w:cs="仿宋"/>
          <w:bCs/>
          <w:color w:val="auto"/>
          <w:sz w:val="32"/>
          <w:szCs w:val="32"/>
          <w:highlight w:val="none"/>
          <w:lang w:val="en-US" w:eastAsia="zh-CN"/>
        </w:rPr>
      </w:pPr>
      <w:r>
        <w:rPr>
          <w:rFonts w:hint="eastAsia" w:ascii="仿宋" w:hAnsi="仿宋" w:eastAsia="仿宋" w:cs="仿宋"/>
          <w:b/>
          <w:bCs/>
          <w:color w:val="auto"/>
          <w:kern w:val="2"/>
          <w:sz w:val="32"/>
          <w:szCs w:val="32"/>
          <w:highlight w:val="none"/>
          <w:lang w:val="en-US" w:eastAsia="zh-CN" w:bidi="ar-SA"/>
        </w:rPr>
        <w:t>（2）</w:t>
      </w:r>
      <w:r>
        <w:rPr>
          <w:rFonts w:hint="eastAsia" w:ascii="仿宋" w:hAnsi="仿宋" w:eastAsia="仿宋" w:cs="仿宋"/>
          <w:b/>
          <w:bCs/>
          <w:color w:val="auto"/>
          <w:sz w:val="32"/>
          <w:szCs w:val="32"/>
          <w:highlight w:val="none"/>
          <w:lang w:eastAsia="zh-CN"/>
        </w:rPr>
        <w:t>合同价款确定方式</w:t>
      </w:r>
      <w:r>
        <w:rPr>
          <w:rFonts w:hint="eastAsia" w:ascii="仿宋" w:hAnsi="仿宋" w:eastAsia="仿宋" w:cs="仿宋"/>
          <w:b/>
          <w:bCs/>
          <w:color w:val="auto"/>
          <w:sz w:val="32"/>
          <w:szCs w:val="32"/>
          <w:highlight w:val="none"/>
          <w:lang w:val="en-US" w:eastAsia="zh-CN"/>
        </w:rPr>
        <w:t>：</w:t>
      </w:r>
      <w:r>
        <w:rPr>
          <w:rFonts w:hint="eastAsia" w:ascii="仿宋" w:hAnsi="仿宋" w:eastAsia="仿宋" w:cs="仿宋"/>
          <w:bCs/>
          <w:color w:val="auto"/>
          <w:sz w:val="32"/>
          <w:szCs w:val="32"/>
          <w:highlight w:val="none"/>
          <w:lang w:val="en-US" w:eastAsia="zh-CN"/>
        </w:rPr>
        <w:t>全费用综合单价</w:t>
      </w:r>
    </w:p>
    <w:p w14:paraId="51535D00">
      <w:pPr>
        <w:keepNext w:val="0"/>
        <w:keepLines w:val="0"/>
        <w:pageBreakBefore w:val="0"/>
        <w:widowControl w:val="0"/>
        <w:kinsoku/>
        <w:wordWrap/>
        <w:overflowPunct/>
        <w:topLinePunct w:val="0"/>
        <w:bidi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2、对于新增加的</w:t>
      </w:r>
      <w:r>
        <w:rPr>
          <w:rFonts w:hint="eastAsia" w:ascii="仿宋" w:hAnsi="仿宋" w:eastAsia="仿宋" w:cs="仿宋"/>
          <w:color w:val="auto"/>
          <w:sz w:val="32"/>
          <w:szCs w:val="32"/>
          <w:lang w:val="en-US" w:eastAsia="zh-CN"/>
        </w:rPr>
        <w:t>服务项目</w:t>
      </w:r>
      <w:r>
        <w:rPr>
          <w:rFonts w:hint="eastAsia" w:ascii="仿宋" w:hAnsi="仿宋" w:eastAsia="仿宋" w:cs="仿宋"/>
          <w:color w:val="auto"/>
          <w:sz w:val="32"/>
          <w:szCs w:val="32"/>
        </w:rPr>
        <w:t>，以交建、城管等管理部门移交单为依据，按照移交单内核定面积，甲乙双方项目管理主要负责人现场共同签字确认并履行相关报批手续后，乙方应及时对增加</w:t>
      </w:r>
      <w:r>
        <w:rPr>
          <w:rFonts w:hint="eastAsia" w:ascii="仿宋" w:hAnsi="仿宋" w:eastAsia="仿宋" w:cs="仿宋"/>
          <w:color w:val="auto"/>
          <w:sz w:val="32"/>
          <w:szCs w:val="32"/>
          <w:lang w:val="en-US" w:eastAsia="zh-CN"/>
        </w:rPr>
        <w:t>服务项目</w:t>
      </w:r>
      <w:r>
        <w:rPr>
          <w:rFonts w:hint="eastAsia" w:ascii="仿宋" w:hAnsi="仿宋" w:eastAsia="仿宋" w:cs="仿宋"/>
          <w:color w:val="auto"/>
          <w:sz w:val="32"/>
          <w:szCs w:val="32"/>
        </w:rPr>
        <w:t>进行管理，对增加</w:t>
      </w:r>
      <w:r>
        <w:rPr>
          <w:rFonts w:hint="eastAsia" w:ascii="仿宋" w:hAnsi="仿宋" w:eastAsia="仿宋" w:cs="仿宋"/>
          <w:color w:val="auto"/>
          <w:sz w:val="32"/>
          <w:szCs w:val="32"/>
          <w:lang w:val="en-US" w:eastAsia="zh-CN"/>
        </w:rPr>
        <w:t>服务</w:t>
      </w:r>
      <w:r>
        <w:rPr>
          <w:rFonts w:hint="eastAsia" w:ascii="仿宋" w:hAnsi="仿宋" w:eastAsia="仿宋" w:cs="仿宋"/>
          <w:color w:val="auto"/>
          <w:sz w:val="32"/>
          <w:szCs w:val="32"/>
        </w:rPr>
        <w:t>签订</w:t>
      </w:r>
      <w:r>
        <w:rPr>
          <w:rFonts w:hint="eastAsia" w:ascii="仿宋" w:hAnsi="仿宋" w:eastAsia="仿宋" w:cs="仿宋"/>
          <w:color w:val="auto"/>
          <w:sz w:val="32"/>
          <w:szCs w:val="32"/>
          <w:lang w:val="en-US" w:eastAsia="zh-CN"/>
        </w:rPr>
        <w:t>外包</w:t>
      </w:r>
      <w:r>
        <w:rPr>
          <w:rFonts w:hint="eastAsia" w:ascii="仿宋" w:hAnsi="仿宋" w:eastAsia="仿宋" w:cs="仿宋"/>
          <w:color w:val="auto"/>
          <w:sz w:val="32"/>
          <w:szCs w:val="32"/>
        </w:rPr>
        <w:t>费用追加协议，按协议进行结算。</w:t>
      </w:r>
    </w:p>
    <w:p w14:paraId="0623B6A0">
      <w:pPr>
        <w:keepNext w:val="0"/>
        <w:keepLines w:val="0"/>
        <w:pageBreakBefore w:val="0"/>
        <w:widowControl w:val="0"/>
        <w:kinsoku/>
        <w:wordWrap/>
        <w:overflowPunct/>
        <w:topLinePunct w:val="0"/>
        <w:bidi w:val="0"/>
        <w:spacing w:line="560" w:lineRule="exact"/>
        <w:ind w:left="47" w:firstLine="640" w:firstLineChars="200"/>
        <w:outlineLvl w:val="1"/>
        <w:rPr>
          <w:rFonts w:hint="eastAsia" w:ascii="黑体" w:hAnsi="黑体" w:eastAsia="黑体" w:cs="黑体"/>
          <w:color w:val="auto"/>
          <w:sz w:val="32"/>
          <w:szCs w:val="32"/>
        </w:rPr>
      </w:pPr>
      <w:r>
        <w:rPr>
          <w:rFonts w:hint="eastAsia" w:ascii="黑体" w:hAnsi="黑体" w:eastAsia="黑体" w:cs="黑体"/>
          <w:color w:val="auto"/>
          <w:sz w:val="32"/>
          <w:szCs w:val="32"/>
        </w:rPr>
        <w:t>第五条、付款方式及依据</w:t>
      </w:r>
    </w:p>
    <w:p w14:paraId="2321C1A3">
      <w:pPr>
        <w:keepNext w:val="0"/>
        <w:keepLines w:val="0"/>
        <w:pageBreakBefore w:val="0"/>
        <w:widowControl w:val="0"/>
        <w:kinsoku/>
        <w:wordWrap/>
        <w:overflowPunct/>
        <w:topLinePunct w:val="0"/>
        <w:bidi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付款方式：协议款按月支付，自协议签订之日起，甲方于次月5日前完成对乙方上月已完工作量的考核，该月承包费用考核完毕后为乙方办理支付手续并将结算款项支付至乙方提供的账户，乙方为甲方开具合法有效、同等额度的增值税发票。</w:t>
      </w:r>
    </w:p>
    <w:p w14:paraId="07FDA8D9">
      <w:pPr>
        <w:keepNext w:val="0"/>
        <w:keepLines w:val="0"/>
        <w:pageBreakBefore w:val="0"/>
        <w:widowControl w:val="0"/>
        <w:kinsoku/>
        <w:wordWrap/>
        <w:overflowPunct/>
        <w:topLinePunct w:val="0"/>
        <w:bidi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2、付款依据：招标文件、投标文件、考核打分、评分结果作为当月付款结算的依据。</w:t>
      </w:r>
    </w:p>
    <w:p w14:paraId="7DFF1754">
      <w:pPr>
        <w:keepNext w:val="0"/>
        <w:keepLines w:val="0"/>
        <w:pageBreakBefore w:val="0"/>
        <w:widowControl w:val="0"/>
        <w:kinsoku/>
        <w:wordWrap/>
        <w:overflowPunct/>
        <w:topLinePunct w:val="0"/>
        <w:bidi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注：当月承包费用=承包单价*当月实际数量-考核扣款。</w:t>
      </w:r>
    </w:p>
    <w:p w14:paraId="5A74CCAD">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default" w:ascii="黑体" w:hAnsi="黑体" w:eastAsia="黑体" w:cs="黑体"/>
          <w:b w:val="0"/>
          <w:bCs w:val="0"/>
          <w:color w:val="auto"/>
          <w:kern w:val="0"/>
          <w:sz w:val="32"/>
          <w:szCs w:val="32"/>
          <w:highlight w:val="none"/>
          <w:lang w:val="en-US" w:eastAsia="zh-CN" w:bidi="ar-SA"/>
        </w:rPr>
      </w:pPr>
      <w:r>
        <w:rPr>
          <w:rFonts w:hint="eastAsia" w:ascii="黑体" w:hAnsi="黑体" w:eastAsia="黑体" w:cs="黑体"/>
          <w:b w:val="0"/>
          <w:bCs w:val="0"/>
          <w:color w:val="auto"/>
          <w:kern w:val="0"/>
          <w:sz w:val="32"/>
          <w:szCs w:val="32"/>
          <w:highlight w:val="none"/>
          <w:lang w:val="en-US" w:eastAsia="zh-CN" w:bidi="ar-SA"/>
        </w:rPr>
        <w:t>第六条：基础配备</w:t>
      </w:r>
    </w:p>
    <w:p w14:paraId="57C91A33">
      <w:pPr>
        <w:pStyle w:val="15"/>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b w:val="0"/>
          <w:bCs w:val="0"/>
          <w:color w:val="auto"/>
          <w:kern w:val="0"/>
          <w:sz w:val="32"/>
          <w:szCs w:val="32"/>
          <w:highlight w:val="none"/>
          <w:lang w:val="en-US" w:eastAsia="zh-CN" w:bidi="ar"/>
        </w:rPr>
      </w:pPr>
      <w:r>
        <w:rPr>
          <w:rFonts w:hint="eastAsia" w:ascii="黑体" w:hAnsi="黑体" w:eastAsia="黑体" w:cs="黑体"/>
          <w:b w:val="0"/>
          <w:bCs w:val="0"/>
          <w:color w:val="auto"/>
          <w:kern w:val="0"/>
          <w:sz w:val="32"/>
          <w:szCs w:val="32"/>
          <w:highlight w:val="none"/>
          <w:lang w:val="en-US" w:eastAsia="zh-CN" w:bidi="ar-SA"/>
        </w:rPr>
        <w:t>1、人员配备</w:t>
      </w:r>
      <w:r>
        <w:rPr>
          <w:rFonts w:hint="eastAsia" w:ascii="楷体" w:hAnsi="楷体" w:eastAsia="楷体" w:cs="楷体"/>
          <w:b/>
          <w:bCs/>
          <w:color w:val="auto"/>
          <w:kern w:val="0"/>
          <w:sz w:val="28"/>
          <w:szCs w:val="28"/>
          <w:highlight w:val="none"/>
          <w:lang w:val="en-US" w:eastAsia="zh-CN" w:bidi="ar-SA"/>
        </w:rPr>
        <w:t>：</w:t>
      </w:r>
      <w:r>
        <w:rPr>
          <w:rFonts w:hint="eastAsia" w:ascii="仿宋" w:hAnsi="仿宋" w:eastAsia="仿宋" w:cs="仿宋"/>
          <w:b w:val="0"/>
          <w:bCs w:val="0"/>
          <w:color w:val="auto"/>
          <w:kern w:val="0"/>
          <w:sz w:val="32"/>
          <w:szCs w:val="32"/>
          <w:highlight w:val="none"/>
          <w:lang w:val="en-US" w:eastAsia="zh-CN" w:bidi="ar"/>
        </w:rPr>
        <w:t>本承包区域核定保洁员不低于</w:t>
      </w:r>
      <w:r>
        <w:rPr>
          <w:rFonts w:hint="eastAsia" w:ascii="楷体" w:hAnsi="楷体" w:eastAsia="楷体" w:cs="楷体"/>
          <w:b/>
          <w:color w:val="auto"/>
          <w:spacing w:val="23"/>
          <w:sz w:val="32"/>
          <w:szCs w:val="32"/>
          <w:highlight w:val="none"/>
          <w:u w:val="single"/>
          <w:lang w:val="en-US" w:eastAsia="zh-CN"/>
        </w:rPr>
        <w:t xml:space="preserve"> </w:t>
      </w:r>
      <w:r>
        <w:rPr>
          <w:rFonts w:hint="eastAsia" w:ascii="仿宋" w:hAnsi="仿宋" w:eastAsia="仿宋" w:cs="仿宋"/>
          <w:b w:val="0"/>
          <w:bCs/>
          <w:color w:val="auto"/>
          <w:spacing w:val="23"/>
          <w:sz w:val="32"/>
          <w:szCs w:val="32"/>
          <w:highlight w:val="none"/>
          <w:u w:val="single"/>
          <w:lang w:val="en-US" w:eastAsia="zh-CN"/>
        </w:rPr>
        <w:t>145</w:t>
      </w:r>
      <w:r>
        <w:rPr>
          <w:rFonts w:hint="eastAsia" w:ascii="仿宋" w:hAnsi="仿宋" w:eastAsia="仿宋" w:cs="仿宋"/>
          <w:b w:val="0"/>
          <w:bCs w:val="0"/>
          <w:color w:val="auto"/>
          <w:kern w:val="0"/>
          <w:sz w:val="32"/>
          <w:szCs w:val="32"/>
          <w:highlight w:val="none"/>
          <w:lang w:val="en-US" w:eastAsia="zh-CN" w:bidi="ar"/>
        </w:rPr>
        <w:t>人，保洁车辆驾驶员不低于</w:t>
      </w:r>
      <w:r>
        <w:rPr>
          <w:rFonts w:hint="eastAsia" w:ascii="仿宋" w:hAnsi="仿宋" w:eastAsia="仿宋" w:cs="仿宋"/>
          <w:b w:val="0"/>
          <w:bCs w:val="0"/>
          <w:color w:val="auto"/>
          <w:kern w:val="0"/>
          <w:sz w:val="32"/>
          <w:szCs w:val="32"/>
          <w:highlight w:val="none"/>
          <w:u w:val="single"/>
          <w:lang w:val="en-US" w:eastAsia="zh-CN" w:bidi="ar"/>
        </w:rPr>
        <w:t xml:space="preserve"> 7</w:t>
      </w:r>
      <w:r>
        <w:rPr>
          <w:rFonts w:hint="eastAsia" w:ascii="楷体" w:hAnsi="楷体" w:eastAsia="楷体" w:cs="楷体"/>
          <w:b/>
          <w:color w:val="auto"/>
          <w:spacing w:val="23"/>
          <w:sz w:val="32"/>
          <w:szCs w:val="32"/>
          <w:highlight w:val="none"/>
          <w:u w:val="single"/>
          <w:lang w:val="en-US" w:eastAsia="zh-CN"/>
        </w:rPr>
        <w:t xml:space="preserve"> </w:t>
      </w:r>
      <w:r>
        <w:rPr>
          <w:rFonts w:hint="eastAsia" w:ascii="仿宋" w:hAnsi="仿宋" w:eastAsia="仿宋" w:cs="仿宋"/>
          <w:b w:val="0"/>
          <w:bCs w:val="0"/>
          <w:color w:val="auto"/>
          <w:kern w:val="0"/>
          <w:sz w:val="32"/>
          <w:szCs w:val="32"/>
          <w:highlight w:val="none"/>
          <w:lang w:val="en-US" w:eastAsia="zh-CN" w:bidi="ar"/>
        </w:rPr>
        <w:t>人；绿化工不低于</w:t>
      </w:r>
      <w:r>
        <w:rPr>
          <w:rFonts w:hint="eastAsia" w:ascii="楷体" w:hAnsi="楷体" w:eastAsia="楷体" w:cs="楷体"/>
          <w:b/>
          <w:color w:val="auto"/>
          <w:spacing w:val="23"/>
          <w:sz w:val="32"/>
          <w:szCs w:val="32"/>
          <w:highlight w:val="none"/>
          <w:u w:val="single"/>
          <w:lang w:val="en-US" w:eastAsia="zh-CN"/>
        </w:rPr>
        <w:t xml:space="preserve"> </w:t>
      </w:r>
      <w:r>
        <w:rPr>
          <w:rFonts w:hint="eastAsia" w:ascii="仿宋" w:hAnsi="仿宋" w:eastAsia="仿宋" w:cs="仿宋"/>
          <w:b w:val="0"/>
          <w:bCs w:val="0"/>
          <w:color w:val="auto"/>
          <w:kern w:val="0"/>
          <w:sz w:val="32"/>
          <w:szCs w:val="32"/>
          <w:highlight w:val="none"/>
          <w:u w:val="single"/>
          <w:lang w:val="en-US" w:eastAsia="zh-CN" w:bidi="ar"/>
        </w:rPr>
        <w:t xml:space="preserve">10 </w:t>
      </w:r>
      <w:r>
        <w:rPr>
          <w:rFonts w:hint="eastAsia" w:ascii="仿宋" w:hAnsi="仿宋" w:eastAsia="仿宋" w:cs="仿宋"/>
          <w:b w:val="0"/>
          <w:bCs w:val="0"/>
          <w:color w:val="auto"/>
          <w:kern w:val="0"/>
          <w:sz w:val="32"/>
          <w:szCs w:val="32"/>
          <w:highlight w:val="none"/>
          <w:u w:val="none"/>
          <w:lang w:val="en-US" w:eastAsia="zh-CN" w:bidi="ar"/>
        </w:rPr>
        <w:t>人</w:t>
      </w:r>
      <w:r>
        <w:rPr>
          <w:rFonts w:hint="eastAsia" w:ascii="仿宋" w:hAnsi="仿宋" w:eastAsia="仿宋" w:cs="仿宋"/>
          <w:b w:val="0"/>
          <w:bCs w:val="0"/>
          <w:color w:val="auto"/>
          <w:kern w:val="0"/>
          <w:sz w:val="32"/>
          <w:szCs w:val="32"/>
          <w:highlight w:val="none"/>
          <w:lang w:val="en-US" w:eastAsia="zh-CN" w:bidi="ar"/>
        </w:rPr>
        <w:t>，绿化车辆驾驶员不低于</w:t>
      </w:r>
      <w:r>
        <w:rPr>
          <w:rFonts w:hint="eastAsia" w:ascii="楷体" w:hAnsi="楷体" w:eastAsia="楷体" w:cs="楷体"/>
          <w:b/>
          <w:color w:val="auto"/>
          <w:spacing w:val="23"/>
          <w:sz w:val="32"/>
          <w:szCs w:val="32"/>
          <w:highlight w:val="none"/>
          <w:u w:val="single"/>
          <w:lang w:val="en-US" w:eastAsia="zh-CN"/>
        </w:rPr>
        <w:t xml:space="preserve"> </w:t>
      </w:r>
      <w:r>
        <w:rPr>
          <w:rFonts w:hint="eastAsia" w:ascii="仿宋" w:hAnsi="仿宋" w:eastAsia="仿宋" w:cs="仿宋"/>
          <w:b w:val="0"/>
          <w:bCs w:val="0"/>
          <w:color w:val="auto"/>
          <w:kern w:val="0"/>
          <w:sz w:val="32"/>
          <w:szCs w:val="32"/>
          <w:highlight w:val="none"/>
          <w:u w:val="single"/>
          <w:lang w:val="en-US" w:eastAsia="zh-CN" w:bidi="ar"/>
        </w:rPr>
        <w:t>1</w:t>
      </w:r>
      <w:r>
        <w:rPr>
          <w:rFonts w:hint="eastAsia" w:ascii="仿宋" w:hAnsi="仿宋" w:eastAsia="仿宋" w:cs="仿宋"/>
          <w:b w:val="0"/>
          <w:bCs w:val="0"/>
          <w:color w:val="auto"/>
          <w:kern w:val="0"/>
          <w:sz w:val="32"/>
          <w:szCs w:val="32"/>
          <w:highlight w:val="none"/>
          <w:lang w:val="en-US" w:eastAsia="zh-CN" w:bidi="ar"/>
        </w:rPr>
        <w:t>人，绿化技术员/安全员不低于</w:t>
      </w:r>
      <w:r>
        <w:rPr>
          <w:rFonts w:hint="eastAsia" w:ascii="楷体" w:hAnsi="楷体" w:eastAsia="楷体" w:cs="楷体"/>
          <w:b/>
          <w:color w:val="auto"/>
          <w:spacing w:val="23"/>
          <w:sz w:val="32"/>
          <w:szCs w:val="32"/>
          <w:highlight w:val="none"/>
          <w:u w:val="single"/>
          <w:lang w:val="en-US" w:eastAsia="zh-CN"/>
        </w:rPr>
        <w:t xml:space="preserve"> </w:t>
      </w:r>
      <w:r>
        <w:rPr>
          <w:rFonts w:hint="eastAsia" w:ascii="仿宋" w:hAnsi="仿宋" w:eastAsia="仿宋" w:cs="仿宋"/>
          <w:b w:val="0"/>
          <w:bCs/>
          <w:color w:val="auto"/>
          <w:spacing w:val="23"/>
          <w:sz w:val="32"/>
          <w:szCs w:val="32"/>
          <w:highlight w:val="none"/>
          <w:u w:val="single"/>
          <w:lang w:val="en-US" w:eastAsia="zh-CN"/>
        </w:rPr>
        <w:t>1</w:t>
      </w:r>
      <w:r>
        <w:rPr>
          <w:rFonts w:hint="eastAsia" w:ascii="仿宋" w:hAnsi="仿宋" w:eastAsia="仿宋" w:cs="仿宋"/>
          <w:b w:val="0"/>
          <w:bCs w:val="0"/>
          <w:color w:val="auto"/>
          <w:kern w:val="0"/>
          <w:sz w:val="32"/>
          <w:szCs w:val="32"/>
          <w:highlight w:val="none"/>
          <w:lang w:val="en-US" w:eastAsia="zh-CN" w:bidi="ar"/>
        </w:rPr>
        <w:t>人。</w:t>
      </w:r>
    </w:p>
    <w:p w14:paraId="20A56847">
      <w:pPr>
        <w:pStyle w:val="6"/>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right="0" w:rightChars="0" w:firstLine="640" w:firstLineChars="200"/>
        <w:textAlignment w:val="auto"/>
        <w:rPr>
          <w:rFonts w:hint="eastAsia" w:ascii="仿宋" w:hAnsi="仿宋" w:eastAsia="仿宋" w:cs="仿宋"/>
          <w:b w:val="0"/>
          <w:bCs w:val="0"/>
          <w:snapToGrid w:val="0"/>
          <w:color w:val="auto"/>
          <w:kern w:val="0"/>
          <w:sz w:val="32"/>
          <w:szCs w:val="32"/>
          <w:highlight w:val="none"/>
          <w:lang w:val="en-US" w:eastAsia="zh-CN" w:bidi="ar"/>
        </w:rPr>
      </w:pPr>
      <w:r>
        <w:rPr>
          <w:rFonts w:hint="eastAsia" w:ascii="黑体" w:hAnsi="黑体" w:eastAsia="黑体" w:cs="黑体"/>
          <w:b w:val="0"/>
          <w:bCs w:val="0"/>
          <w:snapToGrid w:val="0"/>
          <w:color w:val="auto"/>
          <w:kern w:val="0"/>
          <w:sz w:val="32"/>
          <w:szCs w:val="32"/>
          <w:highlight w:val="none"/>
          <w:lang w:val="en-US" w:eastAsia="zh-CN" w:bidi="ar-SA"/>
        </w:rPr>
        <w:t>2、管理配备：</w:t>
      </w:r>
      <w:r>
        <w:rPr>
          <w:rFonts w:hint="eastAsia" w:ascii="仿宋" w:hAnsi="仿宋" w:eastAsia="仿宋" w:cs="仿宋"/>
          <w:b w:val="0"/>
          <w:bCs w:val="0"/>
          <w:snapToGrid w:val="0"/>
          <w:color w:val="auto"/>
          <w:kern w:val="0"/>
          <w:sz w:val="32"/>
          <w:szCs w:val="32"/>
          <w:highlight w:val="none"/>
          <w:lang w:val="en-US" w:eastAsia="zh-CN" w:bidi="ar"/>
        </w:rPr>
        <w:t>本承包区域清扫保洁业务专职管理团队不低于</w:t>
      </w:r>
      <w:r>
        <w:rPr>
          <w:rFonts w:hint="eastAsia" w:ascii="仿宋" w:hAnsi="仿宋" w:eastAsia="仿宋" w:cs="仿宋"/>
          <w:b w:val="0"/>
          <w:bCs w:val="0"/>
          <w:snapToGrid w:val="0"/>
          <w:color w:val="auto"/>
          <w:kern w:val="0"/>
          <w:sz w:val="32"/>
          <w:szCs w:val="32"/>
          <w:highlight w:val="none"/>
          <w:u w:val="single"/>
          <w:lang w:val="en-US" w:eastAsia="zh-CN" w:bidi="ar"/>
        </w:rPr>
        <w:t xml:space="preserve">  5 </w:t>
      </w:r>
      <w:r>
        <w:rPr>
          <w:rFonts w:hint="eastAsia" w:ascii="仿宋" w:hAnsi="仿宋" w:eastAsia="仿宋" w:cs="仿宋"/>
          <w:b w:val="0"/>
          <w:bCs w:val="0"/>
          <w:snapToGrid w:val="0"/>
          <w:color w:val="auto"/>
          <w:kern w:val="0"/>
          <w:sz w:val="32"/>
          <w:szCs w:val="32"/>
          <w:highlight w:val="none"/>
          <w:lang w:val="en-US" w:eastAsia="zh-CN" w:bidi="ar"/>
        </w:rPr>
        <w:t>人；绿化养护业务专职管理团队不少于</w:t>
      </w:r>
      <w:r>
        <w:rPr>
          <w:rFonts w:hint="eastAsia" w:ascii="仿宋" w:hAnsi="仿宋" w:eastAsia="仿宋" w:cs="仿宋"/>
          <w:b w:val="0"/>
          <w:bCs w:val="0"/>
          <w:snapToGrid w:val="0"/>
          <w:color w:val="auto"/>
          <w:kern w:val="0"/>
          <w:sz w:val="32"/>
          <w:szCs w:val="32"/>
          <w:highlight w:val="none"/>
          <w:u w:val="single"/>
          <w:lang w:val="en-US" w:eastAsia="zh-CN" w:bidi="ar"/>
        </w:rPr>
        <w:t xml:space="preserve"> 2 </w:t>
      </w:r>
      <w:r>
        <w:rPr>
          <w:rFonts w:hint="eastAsia" w:ascii="仿宋" w:hAnsi="仿宋" w:eastAsia="仿宋" w:cs="仿宋"/>
          <w:b w:val="0"/>
          <w:bCs w:val="0"/>
          <w:snapToGrid w:val="0"/>
          <w:color w:val="auto"/>
          <w:kern w:val="0"/>
          <w:sz w:val="32"/>
          <w:szCs w:val="32"/>
          <w:highlight w:val="none"/>
          <w:lang w:val="en-US" w:eastAsia="zh-CN" w:bidi="ar"/>
        </w:rPr>
        <w:t>人。均各自自备所有车辆的停放场地，维修场所，人员办公场所，管理所需车辆、项目运行所必备的仓库及常用物资储备等。</w:t>
      </w:r>
    </w:p>
    <w:p w14:paraId="3D369849">
      <w:pPr>
        <w:pStyle w:val="6"/>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right="0" w:rightChars="0" w:firstLine="640" w:firstLineChars="200"/>
        <w:textAlignment w:val="auto"/>
        <w:rPr>
          <w:rFonts w:hint="eastAsia" w:ascii="仿宋" w:hAnsi="仿宋" w:eastAsia="仿宋" w:cs="仿宋"/>
          <w:b w:val="0"/>
          <w:bCs w:val="0"/>
          <w:color w:val="auto"/>
          <w:kern w:val="0"/>
          <w:sz w:val="32"/>
          <w:szCs w:val="32"/>
          <w:highlight w:val="none"/>
          <w:lang w:val="en-US" w:eastAsia="zh-CN" w:bidi="ar-SA"/>
        </w:rPr>
      </w:pPr>
      <w:r>
        <w:rPr>
          <w:rFonts w:hint="eastAsia" w:ascii="黑体" w:hAnsi="黑体" w:eastAsia="黑体" w:cs="黑体"/>
          <w:b w:val="0"/>
          <w:bCs w:val="0"/>
          <w:color w:val="auto"/>
          <w:kern w:val="0"/>
          <w:sz w:val="32"/>
          <w:szCs w:val="32"/>
          <w:highlight w:val="none"/>
          <w:lang w:val="en-US" w:eastAsia="zh-CN" w:bidi="ar-SA"/>
        </w:rPr>
        <w:t>3、车辆配备：</w:t>
      </w:r>
      <w:r>
        <w:rPr>
          <w:rFonts w:hint="eastAsia" w:ascii="仿宋" w:hAnsi="仿宋" w:eastAsia="仿宋" w:cs="仿宋"/>
          <w:b w:val="0"/>
          <w:bCs w:val="0"/>
          <w:color w:val="auto"/>
          <w:kern w:val="0"/>
          <w:sz w:val="32"/>
          <w:szCs w:val="32"/>
          <w:highlight w:val="none"/>
          <w:lang w:val="en-US" w:eastAsia="zh-CN" w:bidi="ar-SA"/>
        </w:rPr>
        <w:t>本承包区域，市容环卫大中型清扫保洁作业车辆</w:t>
      </w:r>
      <w:r>
        <w:rPr>
          <w:rFonts w:hint="eastAsia" w:ascii="仿宋" w:hAnsi="仿宋" w:eastAsia="仿宋" w:cs="仿宋"/>
          <w:b w:val="0"/>
          <w:bCs w:val="0"/>
          <w:color w:val="auto"/>
          <w:kern w:val="0"/>
          <w:sz w:val="32"/>
          <w:szCs w:val="32"/>
          <w:highlight w:val="none"/>
          <w:lang w:val="en-US" w:eastAsia="zh-CN" w:bidi="ar"/>
        </w:rPr>
        <w:t>不低于</w:t>
      </w:r>
      <w:r>
        <w:rPr>
          <w:rFonts w:hint="eastAsia" w:ascii="仿宋" w:hAnsi="仿宋" w:eastAsia="仿宋" w:cs="仿宋"/>
          <w:b w:val="0"/>
          <w:bCs w:val="0"/>
          <w:color w:val="auto"/>
          <w:kern w:val="0"/>
          <w:sz w:val="32"/>
          <w:szCs w:val="32"/>
          <w:highlight w:val="none"/>
          <w:u w:val="single"/>
          <w:lang w:val="en-US" w:eastAsia="zh-CN" w:bidi="ar"/>
        </w:rPr>
        <w:t xml:space="preserve"> </w:t>
      </w:r>
      <w:r>
        <w:rPr>
          <w:rFonts w:hint="eastAsia" w:ascii="仿宋" w:hAnsi="仿宋" w:eastAsia="仿宋" w:cs="仿宋"/>
          <w:b w:val="0"/>
          <w:bCs w:val="0"/>
          <w:color w:val="auto"/>
          <w:spacing w:val="23"/>
          <w:sz w:val="32"/>
          <w:szCs w:val="32"/>
          <w:highlight w:val="none"/>
          <w:u w:val="single"/>
          <w:lang w:val="en-US" w:eastAsia="zh-CN"/>
        </w:rPr>
        <w:t>11</w:t>
      </w:r>
      <w:r>
        <w:rPr>
          <w:rFonts w:hint="eastAsia" w:ascii="仿宋" w:hAnsi="仿宋" w:eastAsia="仿宋" w:cs="仿宋"/>
          <w:b w:val="0"/>
          <w:bCs w:val="0"/>
          <w:color w:val="auto"/>
          <w:kern w:val="0"/>
          <w:sz w:val="32"/>
          <w:szCs w:val="32"/>
          <w:highlight w:val="none"/>
          <w:lang w:val="en-US" w:eastAsia="zh-CN" w:bidi="ar-SA"/>
        </w:rPr>
        <w:t>辆（其中清洗车辆</w:t>
      </w:r>
      <w:r>
        <w:rPr>
          <w:rFonts w:hint="eastAsia" w:ascii="仿宋" w:hAnsi="仿宋" w:eastAsia="仿宋" w:cs="仿宋"/>
          <w:b w:val="0"/>
          <w:bCs w:val="0"/>
          <w:color w:val="auto"/>
          <w:spacing w:val="23"/>
          <w:sz w:val="32"/>
          <w:szCs w:val="32"/>
          <w:highlight w:val="none"/>
          <w:u w:val="single"/>
          <w:lang w:val="en-US" w:eastAsia="zh-CN"/>
        </w:rPr>
        <w:t xml:space="preserve"> 2 </w:t>
      </w:r>
      <w:r>
        <w:rPr>
          <w:rFonts w:hint="eastAsia" w:ascii="仿宋" w:hAnsi="仿宋" w:eastAsia="仿宋" w:cs="仿宋"/>
          <w:b w:val="0"/>
          <w:bCs w:val="0"/>
          <w:color w:val="auto"/>
          <w:kern w:val="0"/>
          <w:sz w:val="32"/>
          <w:szCs w:val="32"/>
          <w:highlight w:val="none"/>
          <w:lang w:val="en-US" w:eastAsia="zh-CN" w:bidi="ar-SA"/>
        </w:rPr>
        <w:t>辆，洗扫车辆</w:t>
      </w:r>
      <w:r>
        <w:rPr>
          <w:rFonts w:hint="eastAsia" w:ascii="仿宋" w:hAnsi="仿宋" w:eastAsia="仿宋" w:cs="仿宋"/>
          <w:b w:val="0"/>
          <w:bCs w:val="0"/>
          <w:color w:val="auto"/>
          <w:spacing w:val="23"/>
          <w:sz w:val="32"/>
          <w:szCs w:val="32"/>
          <w:highlight w:val="none"/>
          <w:u w:val="single"/>
          <w:lang w:val="en-US" w:eastAsia="zh-CN"/>
        </w:rPr>
        <w:t xml:space="preserve"> 2 </w:t>
      </w:r>
      <w:r>
        <w:rPr>
          <w:rFonts w:hint="eastAsia" w:ascii="仿宋" w:hAnsi="仿宋" w:eastAsia="仿宋" w:cs="仿宋"/>
          <w:b w:val="0"/>
          <w:bCs w:val="0"/>
          <w:color w:val="auto"/>
          <w:kern w:val="0"/>
          <w:sz w:val="32"/>
          <w:szCs w:val="32"/>
          <w:highlight w:val="none"/>
          <w:lang w:val="en-US" w:eastAsia="zh-CN" w:bidi="ar-SA"/>
        </w:rPr>
        <w:t>辆），除雪车辆</w:t>
      </w:r>
      <w:r>
        <w:rPr>
          <w:rFonts w:hint="eastAsia" w:ascii="仿宋" w:hAnsi="仿宋" w:eastAsia="仿宋" w:cs="仿宋"/>
          <w:b w:val="0"/>
          <w:bCs w:val="0"/>
          <w:color w:val="auto"/>
          <w:kern w:val="0"/>
          <w:sz w:val="32"/>
          <w:szCs w:val="32"/>
          <w:highlight w:val="none"/>
          <w:u w:val="single"/>
          <w:lang w:val="en-US" w:eastAsia="zh-CN" w:bidi="ar-SA"/>
        </w:rPr>
        <w:t xml:space="preserve"> </w:t>
      </w:r>
      <w:r>
        <w:rPr>
          <w:rFonts w:hint="eastAsia" w:ascii="仿宋" w:hAnsi="仿宋" w:eastAsia="仿宋" w:cs="仿宋"/>
          <w:b w:val="0"/>
          <w:bCs w:val="0"/>
          <w:color w:val="auto"/>
          <w:spacing w:val="23"/>
          <w:sz w:val="32"/>
          <w:szCs w:val="32"/>
          <w:highlight w:val="none"/>
          <w:u w:val="single"/>
          <w:lang w:val="en-US" w:eastAsia="zh-CN"/>
        </w:rPr>
        <w:t>2</w:t>
      </w:r>
      <w:r>
        <w:rPr>
          <w:rFonts w:hint="eastAsia" w:ascii="仿宋" w:hAnsi="仿宋" w:eastAsia="仿宋" w:cs="仿宋"/>
          <w:b w:val="0"/>
          <w:bCs w:val="0"/>
          <w:color w:val="auto"/>
          <w:kern w:val="0"/>
          <w:sz w:val="32"/>
          <w:szCs w:val="32"/>
          <w:highlight w:val="none"/>
          <w:lang w:val="en-US" w:eastAsia="zh-CN" w:bidi="ar-SA"/>
        </w:rPr>
        <w:t>辆，一线业务巡查车辆</w:t>
      </w:r>
      <w:r>
        <w:rPr>
          <w:rFonts w:hint="eastAsia" w:ascii="仿宋" w:hAnsi="仿宋" w:eastAsia="仿宋" w:cs="仿宋"/>
          <w:b w:val="0"/>
          <w:bCs w:val="0"/>
          <w:color w:val="auto"/>
          <w:kern w:val="0"/>
          <w:sz w:val="32"/>
          <w:szCs w:val="32"/>
          <w:highlight w:val="none"/>
          <w:u w:val="single"/>
          <w:lang w:val="en-US" w:eastAsia="zh-CN" w:bidi="ar-SA"/>
        </w:rPr>
        <w:t xml:space="preserve"> 1</w:t>
      </w:r>
      <w:r>
        <w:rPr>
          <w:rFonts w:hint="eastAsia" w:ascii="仿宋" w:hAnsi="仿宋" w:eastAsia="仿宋" w:cs="仿宋"/>
          <w:b w:val="0"/>
          <w:bCs w:val="0"/>
          <w:color w:val="auto"/>
          <w:spacing w:val="23"/>
          <w:sz w:val="32"/>
          <w:szCs w:val="32"/>
          <w:highlight w:val="none"/>
          <w:u w:val="single"/>
          <w:lang w:val="en-US" w:eastAsia="zh-CN"/>
        </w:rPr>
        <w:t xml:space="preserve"> </w:t>
      </w:r>
      <w:r>
        <w:rPr>
          <w:rFonts w:hint="eastAsia" w:ascii="仿宋" w:hAnsi="仿宋" w:eastAsia="仿宋" w:cs="仿宋"/>
          <w:b w:val="0"/>
          <w:bCs w:val="0"/>
          <w:color w:val="auto"/>
          <w:kern w:val="0"/>
          <w:sz w:val="32"/>
          <w:szCs w:val="32"/>
          <w:highlight w:val="none"/>
          <w:lang w:val="en-US" w:eastAsia="zh-CN" w:bidi="ar-SA"/>
        </w:rPr>
        <w:t>辆；及绿化养护浇水车辆</w:t>
      </w:r>
      <w:r>
        <w:rPr>
          <w:rFonts w:hint="eastAsia" w:ascii="仿宋" w:hAnsi="仿宋" w:eastAsia="仿宋" w:cs="仿宋"/>
          <w:b w:val="0"/>
          <w:bCs w:val="0"/>
          <w:color w:val="auto"/>
          <w:spacing w:val="23"/>
          <w:sz w:val="32"/>
          <w:szCs w:val="32"/>
          <w:highlight w:val="none"/>
          <w:u w:val="single"/>
          <w:lang w:val="en-US" w:eastAsia="zh-CN"/>
        </w:rPr>
        <w:t xml:space="preserve"> 1</w:t>
      </w:r>
      <w:r>
        <w:rPr>
          <w:rFonts w:hint="eastAsia" w:ascii="仿宋" w:hAnsi="仿宋" w:eastAsia="仿宋" w:cs="仿宋"/>
          <w:b w:val="0"/>
          <w:bCs w:val="0"/>
          <w:color w:val="auto"/>
          <w:kern w:val="0"/>
          <w:sz w:val="32"/>
          <w:szCs w:val="32"/>
          <w:highlight w:val="none"/>
          <w:lang w:val="en-US" w:eastAsia="zh-CN" w:bidi="ar-SA"/>
        </w:rPr>
        <w:t>辆、绿化作业机械工具（绿篱机</w:t>
      </w:r>
      <w:r>
        <w:rPr>
          <w:rFonts w:hint="eastAsia" w:ascii="仿宋" w:hAnsi="仿宋" w:eastAsia="仿宋" w:cs="仿宋"/>
          <w:b w:val="0"/>
          <w:bCs w:val="0"/>
          <w:color w:val="auto"/>
          <w:spacing w:val="23"/>
          <w:sz w:val="32"/>
          <w:szCs w:val="32"/>
          <w:highlight w:val="none"/>
          <w:u w:val="single"/>
          <w:lang w:val="en-US" w:eastAsia="zh-CN"/>
        </w:rPr>
        <w:t xml:space="preserve"> 3</w:t>
      </w:r>
      <w:r>
        <w:rPr>
          <w:rFonts w:hint="eastAsia" w:ascii="仿宋" w:hAnsi="仿宋" w:eastAsia="仿宋" w:cs="仿宋"/>
          <w:b w:val="0"/>
          <w:bCs w:val="0"/>
          <w:color w:val="auto"/>
          <w:kern w:val="0"/>
          <w:sz w:val="32"/>
          <w:szCs w:val="32"/>
          <w:highlight w:val="none"/>
          <w:lang w:val="en-US" w:eastAsia="zh-CN" w:bidi="ar-SA"/>
        </w:rPr>
        <w:t>台、割灌机</w:t>
      </w:r>
      <w:r>
        <w:rPr>
          <w:rFonts w:hint="eastAsia" w:ascii="仿宋" w:hAnsi="仿宋" w:eastAsia="仿宋" w:cs="仿宋"/>
          <w:b w:val="0"/>
          <w:bCs w:val="0"/>
          <w:color w:val="auto"/>
          <w:spacing w:val="23"/>
          <w:sz w:val="32"/>
          <w:szCs w:val="32"/>
          <w:highlight w:val="none"/>
          <w:u w:val="single"/>
          <w:lang w:val="en-US" w:eastAsia="zh-CN"/>
        </w:rPr>
        <w:t xml:space="preserve"> 5</w:t>
      </w:r>
      <w:r>
        <w:rPr>
          <w:rFonts w:hint="eastAsia" w:ascii="仿宋" w:hAnsi="仿宋" w:eastAsia="仿宋" w:cs="仿宋"/>
          <w:b w:val="0"/>
          <w:bCs w:val="0"/>
          <w:color w:val="auto"/>
          <w:kern w:val="0"/>
          <w:sz w:val="32"/>
          <w:szCs w:val="32"/>
          <w:highlight w:val="none"/>
          <w:lang w:val="en-US" w:eastAsia="zh-CN" w:bidi="ar-SA"/>
        </w:rPr>
        <w:t>台、高枝油锯</w:t>
      </w:r>
      <w:r>
        <w:rPr>
          <w:rFonts w:hint="eastAsia" w:ascii="仿宋" w:hAnsi="仿宋" w:eastAsia="仿宋" w:cs="仿宋"/>
          <w:b w:val="0"/>
          <w:bCs w:val="0"/>
          <w:color w:val="auto"/>
          <w:spacing w:val="23"/>
          <w:sz w:val="32"/>
          <w:szCs w:val="32"/>
          <w:highlight w:val="none"/>
          <w:u w:val="single"/>
          <w:lang w:val="en-US" w:eastAsia="zh-CN"/>
        </w:rPr>
        <w:t xml:space="preserve"> 2 </w:t>
      </w:r>
      <w:r>
        <w:rPr>
          <w:rFonts w:hint="eastAsia" w:ascii="仿宋" w:hAnsi="仿宋" w:eastAsia="仿宋" w:cs="仿宋"/>
          <w:b w:val="0"/>
          <w:bCs w:val="0"/>
          <w:color w:val="auto"/>
          <w:kern w:val="0"/>
          <w:sz w:val="32"/>
          <w:szCs w:val="32"/>
          <w:highlight w:val="none"/>
          <w:lang w:val="en-US" w:eastAsia="zh-CN" w:bidi="ar-SA"/>
        </w:rPr>
        <w:t>台、打药机</w:t>
      </w:r>
      <w:r>
        <w:rPr>
          <w:rFonts w:hint="eastAsia" w:ascii="仿宋" w:hAnsi="仿宋" w:eastAsia="仿宋" w:cs="仿宋"/>
          <w:b w:val="0"/>
          <w:bCs w:val="0"/>
          <w:color w:val="auto"/>
          <w:spacing w:val="23"/>
          <w:sz w:val="32"/>
          <w:szCs w:val="32"/>
          <w:highlight w:val="none"/>
          <w:u w:val="single"/>
          <w:lang w:val="en-US" w:eastAsia="zh-CN"/>
        </w:rPr>
        <w:t xml:space="preserve"> 1</w:t>
      </w:r>
      <w:r>
        <w:rPr>
          <w:rFonts w:hint="eastAsia" w:ascii="仿宋" w:hAnsi="仿宋" w:eastAsia="仿宋" w:cs="仿宋"/>
          <w:b w:val="0"/>
          <w:bCs w:val="0"/>
          <w:color w:val="auto"/>
          <w:kern w:val="0"/>
          <w:sz w:val="32"/>
          <w:szCs w:val="32"/>
          <w:highlight w:val="none"/>
          <w:lang w:val="en-US" w:eastAsia="zh-CN" w:bidi="ar-SA"/>
        </w:rPr>
        <w:t>台及恶劣天气因树木倒塌所需的处突机械设备和日常作业中中小型垃圾清运车辆、高压清洗车辆若干。</w:t>
      </w:r>
    </w:p>
    <w:p w14:paraId="240F1356">
      <w:pPr>
        <w:keepNext w:val="0"/>
        <w:keepLines w:val="0"/>
        <w:pageBreakBefore w:val="0"/>
        <w:widowControl w:val="0"/>
        <w:numPr>
          <w:ilvl w:val="0"/>
          <w:numId w:val="0"/>
        </w:numPr>
        <w:tabs>
          <w:tab w:val="left" w:pos="851"/>
        </w:tabs>
        <w:kinsoku/>
        <w:wordWrap/>
        <w:overflowPunct/>
        <w:topLinePunct w:val="0"/>
        <w:autoSpaceDE/>
        <w:autoSpaceDN/>
        <w:bidi w:val="0"/>
        <w:spacing w:line="560" w:lineRule="exact"/>
        <w:ind w:leftChars="0" w:right="0" w:rightChars="0" w:firstLine="640" w:firstLineChars="200"/>
        <w:textAlignment w:val="auto"/>
        <w:rPr>
          <w:rFonts w:hint="eastAsia" w:ascii="仿宋" w:hAnsi="仿宋" w:eastAsia="仿宋" w:cs="仿宋"/>
          <w:color w:val="auto"/>
          <w:kern w:val="0"/>
          <w:sz w:val="32"/>
          <w:szCs w:val="32"/>
          <w:highlight w:val="none"/>
          <w:lang w:val="en-US" w:eastAsia="zh-CN" w:bidi="ar-SA"/>
        </w:rPr>
      </w:pPr>
      <w:r>
        <w:rPr>
          <w:rFonts w:hint="eastAsia" w:ascii="黑体" w:hAnsi="黑体" w:eastAsia="黑体" w:cs="黑体"/>
          <w:b w:val="0"/>
          <w:bCs w:val="0"/>
          <w:color w:val="auto"/>
          <w:kern w:val="0"/>
          <w:sz w:val="32"/>
          <w:szCs w:val="32"/>
          <w:highlight w:val="none"/>
          <w:lang w:val="en-US" w:eastAsia="zh-CN" w:bidi="ar-SA"/>
        </w:rPr>
        <w:t>4、服装配备：</w:t>
      </w:r>
      <w:r>
        <w:rPr>
          <w:rFonts w:hint="eastAsia" w:ascii="仿宋" w:hAnsi="仿宋" w:eastAsia="仿宋" w:cs="仿宋"/>
          <w:b w:val="0"/>
          <w:bCs w:val="0"/>
          <w:color w:val="auto"/>
          <w:kern w:val="0"/>
          <w:sz w:val="32"/>
          <w:szCs w:val="32"/>
          <w:highlight w:val="none"/>
          <w:lang w:val="en-US" w:eastAsia="zh-CN" w:bidi="ar-SA"/>
        </w:rPr>
        <w:t>按照相关规定和要求及本合同已明确的核定人数，</w:t>
      </w:r>
      <w:r>
        <w:rPr>
          <w:rFonts w:hint="eastAsia" w:ascii="仿宋" w:hAnsi="仿宋" w:eastAsia="仿宋" w:cs="仿宋"/>
          <w:color w:val="auto"/>
          <w:kern w:val="0"/>
          <w:sz w:val="32"/>
          <w:szCs w:val="32"/>
          <w:highlight w:val="none"/>
          <w:lang w:val="en-US" w:eastAsia="zh-CN" w:bidi="ar-SA"/>
        </w:rPr>
        <w:t>统一标准自行采购保洁工人、绿化工人及其他人员的工作服装。</w:t>
      </w:r>
    </w:p>
    <w:p w14:paraId="05A7F835">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textAlignment w:val="baseline"/>
        <w:outlineLvl w:val="1"/>
        <w:rPr>
          <w:rFonts w:hint="eastAsia" w:ascii="仿宋" w:hAnsi="仿宋" w:eastAsia="仿宋" w:cs="仿宋"/>
          <w:color w:val="auto"/>
          <w:sz w:val="32"/>
          <w:szCs w:val="32"/>
          <w:lang w:val="en-US" w:eastAsia="zh-CN"/>
        </w:rPr>
      </w:pPr>
      <w:r>
        <w:rPr>
          <w:rFonts w:hint="eastAsia" w:ascii="黑体" w:hAnsi="黑体" w:eastAsia="黑体" w:cs="黑体"/>
          <w:color w:val="auto"/>
          <w:sz w:val="32"/>
          <w:szCs w:val="32"/>
          <w:lang w:val="en-US" w:eastAsia="zh-CN"/>
        </w:rPr>
        <w:t>5、基础设施配备</w:t>
      </w:r>
      <w:r>
        <w:rPr>
          <w:rFonts w:hint="eastAsia" w:ascii="仿宋" w:hAnsi="仿宋" w:eastAsia="仿宋" w:cs="仿宋"/>
          <w:color w:val="auto"/>
          <w:sz w:val="32"/>
          <w:szCs w:val="32"/>
          <w:lang w:val="en-US" w:eastAsia="zh-CN"/>
        </w:rPr>
        <w:t>：240L垃圾桶不低于</w:t>
      </w:r>
      <w:r>
        <w:rPr>
          <w:rFonts w:hint="eastAsia" w:ascii="仿宋" w:hAnsi="仿宋" w:eastAsia="仿宋" w:cs="仿宋"/>
          <w:color w:val="auto"/>
          <w:sz w:val="32"/>
          <w:szCs w:val="32"/>
          <w:u w:val="single"/>
          <w:lang w:val="en-US" w:eastAsia="zh-CN"/>
        </w:rPr>
        <w:t>500</w:t>
      </w:r>
      <w:r>
        <w:rPr>
          <w:rFonts w:hint="eastAsia" w:ascii="仿宋" w:hAnsi="仿宋" w:eastAsia="仿宋" w:cs="仿宋"/>
          <w:color w:val="auto"/>
          <w:sz w:val="32"/>
          <w:szCs w:val="32"/>
          <w:lang w:val="en-US" w:eastAsia="zh-CN"/>
        </w:rPr>
        <w:t>个、果皮箱西边县乡道</w:t>
      </w:r>
      <w:r>
        <w:rPr>
          <w:rFonts w:hint="eastAsia" w:ascii="仿宋" w:hAnsi="仿宋" w:eastAsia="仿宋" w:cs="仿宋"/>
          <w:color w:val="auto"/>
          <w:sz w:val="32"/>
          <w:szCs w:val="32"/>
          <w:u w:val="single"/>
          <w:lang w:val="en-US" w:eastAsia="zh-CN"/>
        </w:rPr>
        <w:t xml:space="preserve"> 40 </w:t>
      </w:r>
      <w:r>
        <w:rPr>
          <w:rFonts w:hint="eastAsia" w:ascii="仿宋" w:hAnsi="仿宋" w:eastAsia="仿宋" w:cs="仿宋"/>
          <w:color w:val="auto"/>
          <w:sz w:val="32"/>
          <w:szCs w:val="32"/>
          <w:lang w:val="en-US" w:eastAsia="zh-CN"/>
        </w:rPr>
        <w:t>、东边长安园</w:t>
      </w:r>
      <w:r>
        <w:rPr>
          <w:rFonts w:hint="eastAsia" w:ascii="仿宋" w:hAnsi="仿宋" w:eastAsia="仿宋" w:cs="仿宋"/>
          <w:color w:val="auto"/>
          <w:sz w:val="32"/>
          <w:szCs w:val="32"/>
          <w:u w:val="single"/>
          <w:lang w:val="en-US" w:eastAsia="zh-CN"/>
        </w:rPr>
        <w:t xml:space="preserve"> 220 </w:t>
      </w:r>
      <w:r>
        <w:rPr>
          <w:rFonts w:hint="eastAsia" w:ascii="仿宋" w:hAnsi="仿宋" w:eastAsia="仿宋" w:cs="仿宋"/>
          <w:color w:val="auto"/>
          <w:sz w:val="32"/>
          <w:szCs w:val="32"/>
          <w:lang w:val="en-US" w:eastAsia="zh-CN"/>
        </w:rPr>
        <w:t>、四分类垃圾亭不低于</w:t>
      </w:r>
      <w:r>
        <w:rPr>
          <w:rFonts w:hint="eastAsia" w:ascii="仿宋" w:hAnsi="仿宋" w:eastAsia="仿宋" w:cs="仿宋"/>
          <w:color w:val="auto"/>
          <w:sz w:val="32"/>
          <w:szCs w:val="32"/>
          <w:u w:val="single"/>
          <w:lang w:val="en-US" w:eastAsia="zh-CN"/>
        </w:rPr>
        <w:t xml:space="preserve"> 28</w:t>
      </w:r>
      <w:r>
        <w:rPr>
          <w:rFonts w:hint="eastAsia" w:ascii="仿宋" w:hAnsi="仿宋" w:eastAsia="仿宋" w:cs="仿宋"/>
          <w:color w:val="auto"/>
          <w:sz w:val="32"/>
          <w:szCs w:val="32"/>
          <w:lang w:val="en-US" w:eastAsia="zh-CN"/>
        </w:rPr>
        <w:t>个、人力三轮车不低于</w:t>
      </w:r>
      <w:r>
        <w:rPr>
          <w:rFonts w:hint="eastAsia" w:ascii="仿宋" w:hAnsi="仿宋" w:eastAsia="仿宋" w:cs="仿宋"/>
          <w:color w:val="auto"/>
          <w:sz w:val="32"/>
          <w:szCs w:val="32"/>
          <w:u w:val="single"/>
          <w:lang w:val="en-US" w:eastAsia="zh-CN"/>
        </w:rPr>
        <w:t xml:space="preserve"> 75 </w:t>
      </w:r>
      <w:r>
        <w:rPr>
          <w:rFonts w:hint="eastAsia" w:ascii="仿宋" w:hAnsi="仿宋" w:eastAsia="仿宋" w:cs="仿宋"/>
          <w:color w:val="auto"/>
          <w:sz w:val="32"/>
          <w:szCs w:val="32"/>
          <w:lang w:val="en-US" w:eastAsia="zh-CN"/>
        </w:rPr>
        <w:t>辆、电动240L分类垃圾运转三轮车不低于</w:t>
      </w:r>
      <w:r>
        <w:rPr>
          <w:rFonts w:hint="eastAsia" w:ascii="仿宋" w:hAnsi="仿宋" w:eastAsia="仿宋" w:cs="仿宋"/>
          <w:color w:val="auto"/>
          <w:sz w:val="32"/>
          <w:szCs w:val="32"/>
          <w:u w:val="single"/>
          <w:lang w:val="en-US" w:eastAsia="zh-CN"/>
        </w:rPr>
        <w:t xml:space="preserve"> 3 </w:t>
      </w:r>
      <w:r>
        <w:rPr>
          <w:rFonts w:hint="eastAsia" w:ascii="仿宋" w:hAnsi="仿宋" w:eastAsia="仿宋" w:cs="仿宋"/>
          <w:color w:val="auto"/>
          <w:sz w:val="32"/>
          <w:szCs w:val="32"/>
          <w:lang w:val="en-US" w:eastAsia="zh-CN"/>
        </w:rPr>
        <w:t>个、电动三轮车不低于</w:t>
      </w:r>
      <w:r>
        <w:rPr>
          <w:rFonts w:hint="eastAsia" w:ascii="仿宋" w:hAnsi="仿宋" w:eastAsia="仿宋" w:cs="仿宋"/>
          <w:color w:val="auto"/>
          <w:sz w:val="32"/>
          <w:szCs w:val="32"/>
          <w:u w:val="single"/>
          <w:lang w:val="en-US" w:eastAsia="zh-CN"/>
        </w:rPr>
        <w:t xml:space="preserve"> 5 </w:t>
      </w:r>
      <w:r>
        <w:rPr>
          <w:rFonts w:hint="eastAsia" w:ascii="仿宋" w:hAnsi="仿宋" w:eastAsia="仿宋" w:cs="仿宋"/>
          <w:color w:val="auto"/>
          <w:sz w:val="32"/>
          <w:szCs w:val="32"/>
          <w:lang w:val="en-US" w:eastAsia="zh-CN"/>
        </w:rPr>
        <w:t>个。（含现有移交设备在内）</w:t>
      </w:r>
    </w:p>
    <w:p w14:paraId="4DF00701">
      <w:pPr>
        <w:keepNext w:val="0"/>
        <w:keepLines w:val="0"/>
        <w:pageBreakBefore w:val="0"/>
        <w:widowControl w:val="0"/>
        <w:kinsoku/>
        <w:wordWrap/>
        <w:overflowPunct/>
        <w:topLinePunct w:val="0"/>
        <w:bidi w:val="0"/>
        <w:spacing w:line="560" w:lineRule="exact"/>
        <w:ind w:firstLine="640" w:firstLineChars="200"/>
        <w:outlineLvl w:val="1"/>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6、其余设备以交接盘点为准。</w:t>
      </w:r>
    </w:p>
    <w:p w14:paraId="1F1346FC">
      <w:pPr>
        <w:keepNext w:val="0"/>
        <w:keepLines w:val="0"/>
        <w:pageBreakBefore w:val="0"/>
        <w:widowControl w:val="0"/>
        <w:kinsoku/>
        <w:wordWrap/>
        <w:overflowPunct/>
        <w:topLinePunct w:val="0"/>
        <w:bidi w:val="0"/>
        <w:spacing w:line="560" w:lineRule="exact"/>
        <w:ind w:firstLine="640" w:firstLineChars="200"/>
        <w:outlineLvl w:val="1"/>
        <w:rPr>
          <w:rFonts w:hint="eastAsia" w:ascii="黑体" w:hAnsi="黑体" w:eastAsia="黑体" w:cs="黑体"/>
          <w:color w:val="auto"/>
          <w:sz w:val="32"/>
          <w:szCs w:val="32"/>
        </w:rPr>
      </w:pPr>
      <w:r>
        <w:rPr>
          <w:rFonts w:hint="eastAsia" w:ascii="黑体" w:hAnsi="黑体" w:eastAsia="黑体" w:cs="黑体"/>
          <w:color w:val="auto"/>
          <w:sz w:val="32"/>
          <w:szCs w:val="32"/>
        </w:rPr>
        <w:t>第</w:t>
      </w:r>
      <w:r>
        <w:rPr>
          <w:rFonts w:hint="eastAsia" w:ascii="黑体" w:hAnsi="黑体" w:eastAsia="黑体" w:cs="黑体"/>
          <w:color w:val="auto"/>
          <w:sz w:val="32"/>
          <w:szCs w:val="32"/>
          <w:lang w:val="en-US" w:eastAsia="zh-CN"/>
        </w:rPr>
        <w:t>七</w:t>
      </w:r>
      <w:r>
        <w:rPr>
          <w:rFonts w:hint="eastAsia" w:ascii="黑体" w:hAnsi="黑体" w:eastAsia="黑体" w:cs="黑体"/>
          <w:color w:val="auto"/>
          <w:sz w:val="32"/>
          <w:szCs w:val="32"/>
        </w:rPr>
        <w:t>条、作业要求</w:t>
      </w:r>
    </w:p>
    <w:p w14:paraId="2662FD03">
      <w:pPr>
        <w:keepNext w:val="0"/>
        <w:keepLines w:val="0"/>
        <w:pageBreakBefore w:val="0"/>
        <w:widowControl w:val="0"/>
        <w:kinsoku/>
        <w:wordWrap/>
        <w:overflowPunct/>
        <w:topLinePunct w:val="0"/>
        <w:bidi w:val="0"/>
        <w:spacing w:line="560" w:lineRule="exact"/>
        <w:ind w:firstLine="640" w:firstLineChars="200"/>
        <w:outlineLvl w:val="1"/>
        <w:rPr>
          <w:rFonts w:hint="eastAsia" w:ascii="仿宋" w:hAnsi="仿宋" w:eastAsia="仿宋" w:cs="仿宋"/>
          <w:color w:val="auto"/>
          <w:sz w:val="32"/>
          <w:szCs w:val="32"/>
        </w:rPr>
      </w:pPr>
      <w:r>
        <w:rPr>
          <w:rFonts w:hint="eastAsia" w:ascii="仿宋" w:hAnsi="仿宋" w:eastAsia="仿宋" w:cs="仿宋"/>
          <w:color w:val="auto"/>
          <w:sz w:val="32"/>
          <w:szCs w:val="32"/>
        </w:rPr>
        <w:t>1</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辖区内省、市、县及村内道路红线内（含人行道、快慢行车道、绿化带等）的清扫、保洁、洒水、冲洗及清扫保洁产生垃圾的收集清运工作。</w:t>
      </w:r>
    </w:p>
    <w:p w14:paraId="3E91108A">
      <w:pPr>
        <w:keepNext w:val="0"/>
        <w:keepLines w:val="0"/>
        <w:pageBreakBefore w:val="0"/>
        <w:widowControl w:val="0"/>
        <w:wordWrap/>
        <w:overflowPunct/>
        <w:topLinePunct w:val="0"/>
        <w:bidi w:val="0"/>
        <w:spacing w:line="560" w:lineRule="exact"/>
        <w:ind w:firstLine="640" w:firstLineChars="200"/>
        <w:outlineLvl w:val="1"/>
        <w:rPr>
          <w:rFonts w:hint="eastAsia" w:ascii="仿宋" w:hAnsi="仿宋" w:eastAsia="仿宋" w:cs="仿宋"/>
          <w:color w:val="auto"/>
          <w:sz w:val="32"/>
          <w:szCs w:val="32"/>
        </w:rPr>
      </w:pPr>
      <w:r>
        <w:rPr>
          <w:rFonts w:hint="eastAsia" w:ascii="仿宋" w:hAnsi="仿宋" w:eastAsia="仿宋" w:cs="仿宋"/>
          <w:color w:val="auto"/>
          <w:sz w:val="32"/>
          <w:szCs w:val="32"/>
        </w:rPr>
        <w:t>2</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承包区域可视范围内的道路隔车带、公共绿地、树坑的环卫保洁、垃圾收集及野广告清理工作。</w:t>
      </w:r>
    </w:p>
    <w:p w14:paraId="5E345DAA">
      <w:pPr>
        <w:keepNext w:val="0"/>
        <w:keepLines w:val="0"/>
        <w:pageBreakBefore w:val="0"/>
        <w:widowControl w:val="0"/>
        <w:wordWrap/>
        <w:overflowPunct/>
        <w:topLinePunct w:val="0"/>
        <w:bidi w:val="0"/>
        <w:spacing w:line="560" w:lineRule="exact"/>
        <w:ind w:firstLine="640" w:firstLineChars="200"/>
        <w:outlineLvl w:val="1"/>
        <w:rPr>
          <w:rFonts w:hint="eastAsia" w:ascii="仿宋" w:hAnsi="仿宋" w:eastAsia="仿宋" w:cs="仿宋"/>
          <w:color w:val="auto"/>
          <w:sz w:val="32"/>
          <w:szCs w:val="32"/>
        </w:rPr>
      </w:pPr>
      <w:r>
        <w:rPr>
          <w:rFonts w:hint="eastAsia" w:ascii="仿宋" w:hAnsi="仿宋" w:eastAsia="仿宋" w:cs="仿宋"/>
          <w:color w:val="auto"/>
          <w:sz w:val="32"/>
          <w:szCs w:val="32"/>
        </w:rPr>
        <w:t>3</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承包区域内果皮箱、保洁工具箱、灭烟柱的保洁清洗及周边垃圾分类收集，道路可视范围内零星散落生活垃圾的收集，路牌、灯杆等市政设施的保洁、野广告清除等工作。</w:t>
      </w:r>
    </w:p>
    <w:p w14:paraId="19FA334E">
      <w:pPr>
        <w:keepNext w:val="0"/>
        <w:keepLines w:val="0"/>
        <w:pageBreakBefore w:val="0"/>
        <w:widowControl w:val="0"/>
        <w:wordWrap/>
        <w:overflowPunct/>
        <w:topLinePunct w:val="0"/>
        <w:bidi w:val="0"/>
        <w:spacing w:line="560" w:lineRule="exact"/>
        <w:ind w:firstLine="640" w:firstLineChars="200"/>
        <w:outlineLvl w:val="1"/>
        <w:rPr>
          <w:rFonts w:hint="eastAsia" w:ascii="仿宋" w:hAnsi="仿宋" w:eastAsia="仿宋" w:cs="仿宋"/>
          <w:color w:val="auto"/>
          <w:sz w:val="32"/>
          <w:szCs w:val="32"/>
        </w:rPr>
      </w:pPr>
      <w:r>
        <w:rPr>
          <w:rFonts w:hint="eastAsia" w:ascii="仿宋" w:hAnsi="仿宋" w:eastAsia="仿宋" w:cs="仿宋"/>
          <w:color w:val="auto"/>
          <w:sz w:val="32"/>
          <w:szCs w:val="32"/>
        </w:rPr>
        <w:t>4</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区域内冬季清雪除冰工作。</w:t>
      </w:r>
    </w:p>
    <w:p w14:paraId="2E8EE412">
      <w:pPr>
        <w:keepNext w:val="0"/>
        <w:keepLines w:val="0"/>
        <w:pageBreakBefore w:val="0"/>
        <w:widowControl w:val="0"/>
        <w:kinsoku w:val="0"/>
        <w:wordWrap/>
        <w:overflowPunct/>
        <w:topLinePunct w:val="0"/>
        <w:autoSpaceDE w:val="0"/>
        <w:autoSpaceDN w:val="0"/>
        <w:bidi w:val="0"/>
        <w:adjustRightInd w:val="0"/>
        <w:snapToGrid w:val="0"/>
        <w:spacing w:line="560" w:lineRule="exact"/>
        <w:ind w:firstLine="640" w:firstLineChars="200"/>
        <w:textAlignment w:val="baseline"/>
        <w:outlineLvl w:val="1"/>
        <w:rPr>
          <w:rFonts w:hint="eastAsia" w:ascii="仿宋" w:hAnsi="仿宋" w:eastAsia="仿宋" w:cs="仿宋"/>
          <w:color w:val="auto"/>
          <w:sz w:val="32"/>
          <w:szCs w:val="32"/>
        </w:rPr>
      </w:pPr>
      <w:r>
        <w:rPr>
          <w:rFonts w:hint="eastAsia" w:ascii="仿宋" w:hAnsi="仿宋" w:eastAsia="仿宋" w:cs="仿宋"/>
          <w:color w:val="auto"/>
          <w:sz w:val="32"/>
          <w:szCs w:val="32"/>
        </w:rPr>
        <w:t>5</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公共卫生间的日常保洁工作。</w:t>
      </w:r>
    </w:p>
    <w:p w14:paraId="3AD04AE0">
      <w:pPr>
        <w:keepNext w:val="0"/>
        <w:keepLines w:val="0"/>
        <w:pageBreakBefore w:val="0"/>
        <w:widowControl w:val="0"/>
        <w:kinsoku w:val="0"/>
        <w:wordWrap/>
        <w:overflowPunct/>
        <w:topLinePunct w:val="0"/>
        <w:autoSpaceDE w:val="0"/>
        <w:autoSpaceDN w:val="0"/>
        <w:bidi w:val="0"/>
        <w:adjustRightInd w:val="0"/>
        <w:snapToGrid w:val="0"/>
        <w:spacing w:line="560" w:lineRule="exact"/>
        <w:ind w:firstLine="640" w:firstLineChars="200"/>
        <w:textAlignment w:val="baseline"/>
        <w:outlineLvl w:val="1"/>
        <w:rPr>
          <w:rFonts w:hint="eastAsia" w:ascii="仿宋" w:hAnsi="仿宋" w:eastAsia="仿宋" w:cs="仿宋"/>
          <w:color w:val="auto"/>
          <w:sz w:val="32"/>
          <w:szCs w:val="32"/>
        </w:rPr>
      </w:pPr>
      <w:r>
        <w:rPr>
          <w:rFonts w:hint="eastAsia" w:ascii="仿宋" w:hAnsi="仿宋" w:eastAsia="仿宋" w:cs="仿宋"/>
          <w:color w:val="auto"/>
          <w:sz w:val="32"/>
          <w:szCs w:val="32"/>
        </w:rPr>
        <w:t>6</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区域内行道树、绿化带的日常养护工作，包含行道树、绿篱灌木、绿化带杂草的修剪、补栽、浇灌、冲洗、病虫害防治、施肥（春肥、冬肥）、落叶清扫、高台土及杂物清掏、涂白、苗木冬季防寒保暖等（包括因暴雨、大风等极端天气造成树木倒伏、断枝的处理）。</w:t>
      </w:r>
    </w:p>
    <w:p w14:paraId="63D54006">
      <w:pPr>
        <w:keepNext w:val="0"/>
        <w:keepLines w:val="0"/>
        <w:pageBreakBefore w:val="0"/>
        <w:widowControl w:val="0"/>
        <w:wordWrap/>
        <w:overflowPunct/>
        <w:topLinePunct w:val="0"/>
        <w:bidi w:val="0"/>
        <w:spacing w:line="560" w:lineRule="exact"/>
        <w:ind w:firstLine="640" w:firstLineChars="200"/>
        <w:outlineLvl w:val="1"/>
        <w:rPr>
          <w:rFonts w:hint="eastAsia" w:ascii="仿宋" w:hAnsi="仿宋" w:eastAsia="仿宋" w:cs="仿宋"/>
          <w:color w:val="auto"/>
          <w:sz w:val="32"/>
          <w:szCs w:val="32"/>
        </w:rPr>
      </w:pPr>
      <w:r>
        <w:rPr>
          <w:rFonts w:hint="eastAsia" w:ascii="仿宋" w:hAnsi="仿宋" w:eastAsia="仿宋" w:cs="仿宋"/>
          <w:color w:val="auto"/>
          <w:sz w:val="32"/>
          <w:szCs w:val="32"/>
        </w:rPr>
        <w:t>7</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数字化城管等相关投诉的处理。</w:t>
      </w:r>
    </w:p>
    <w:p w14:paraId="07061F6B">
      <w:pPr>
        <w:keepNext w:val="0"/>
        <w:keepLines w:val="0"/>
        <w:pageBreakBefore w:val="0"/>
        <w:widowControl w:val="0"/>
        <w:wordWrap/>
        <w:overflowPunct/>
        <w:topLinePunct w:val="0"/>
        <w:bidi w:val="0"/>
        <w:spacing w:line="560" w:lineRule="exact"/>
        <w:ind w:firstLine="640" w:firstLineChars="200"/>
        <w:outlineLvl w:val="1"/>
        <w:rPr>
          <w:rFonts w:hint="eastAsia" w:ascii="仿宋" w:hAnsi="仿宋" w:eastAsia="仿宋" w:cs="仿宋"/>
          <w:color w:val="auto"/>
          <w:sz w:val="32"/>
          <w:szCs w:val="32"/>
        </w:rPr>
      </w:pPr>
      <w:r>
        <w:rPr>
          <w:rFonts w:hint="eastAsia" w:ascii="仿宋" w:hAnsi="仿宋" w:eastAsia="仿宋" w:cs="仿宋"/>
          <w:color w:val="auto"/>
          <w:sz w:val="32"/>
          <w:szCs w:val="32"/>
        </w:rPr>
        <w:t>8</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各行政村村内日常生活垃圾转运。</w:t>
      </w:r>
    </w:p>
    <w:p w14:paraId="10EFFB4E">
      <w:pPr>
        <w:keepNext w:val="0"/>
        <w:keepLines w:val="0"/>
        <w:pageBreakBefore w:val="0"/>
        <w:widowControl w:val="0"/>
        <w:wordWrap/>
        <w:overflowPunct/>
        <w:topLinePunct w:val="0"/>
        <w:bidi w:val="0"/>
        <w:spacing w:line="560" w:lineRule="exact"/>
        <w:ind w:firstLine="640" w:firstLineChars="200"/>
        <w:outlineLvl w:val="1"/>
        <w:rPr>
          <w:rFonts w:hint="eastAsia" w:ascii="仿宋" w:hAnsi="仿宋" w:eastAsia="仿宋" w:cs="仿宋"/>
          <w:color w:val="auto"/>
          <w:sz w:val="32"/>
          <w:szCs w:val="32"/>
        </w:rPr>
      </w:pPr>
      <w:r>
        <w:rPr>
          <w:rFonts w:hint="eastAsia" w:ascii="仿宋" w:hAnsi="仿宋" w:eastAsia="仿宋" w:cs="仿宋"/>
          <w:color w:val="auto"/>
          <w:sz w:val="32"/>
          <w:szCs w:val="32"/>
        </w:rPr>
        <w:t>9</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区域内环卫车辆的日常运行养护工作，包含车辆日常运行、车辆加油、维修、保险缴纳、年审等工作。</w:t>
      </w:r>
    </w:p>
    <w:p w14:paraId="618891FC">
      <w:pPr>
        <w:keepNext w:val="0"/>
        <w:keepLines w:val="0"/>
        <w:pageBreakBefore w:val="0"/>
        <w:widowControl w:val="0"/>
        <w:wordWrap/>
        <w:overflowPunct/>
        <w:topLinePunct w:val="0"/>
        <w:bidi w:val="0"/>
        <w:spacing w:line="560" w:lineRule="exact"/>
        <w:ind w:firstLine="640" w:firstLineChars="200"/>
        <w:outlineLvl w:val="1"/>
        <w:rPr>
          <w:rFonts w:hint="eastAsia" w:ascii="仿宋" w:hAnsi="仿宋" w:eastAsia="仿宋" w:cs="仿宋"/>
          <w:color w:val="auto"/>
          <w:sz w:val="32"/>
          <w:szCs w:val="32"/>
        </w:rPr>
      </w:pPr>
      <w:r>
        <w:rPr>
          <w:rFonts w:hint="eastAsia" w:ascii="仿宋" w:hAnsi="仿宋" w:eastAsia="仿宋" w:cs="仿宋"/>
          <w:color w:val="auto"/>
          <w:sz w:val="32"/>
          <w:szCs w:val="32"/>
        </w:rPr>
        <w:t>10</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路灯电费。</w:t>
      </w:r>
    </w:p>
    <w:p w14:paraId="4F5568A8">
      <w:pPr>
        <w:keepNext w:val="0"/>
        <w:keepLines w:val="0"/>
        <w:pageBreakBefore w:val="0"/>
        <w:widowControl w:val="0"/>
        <w:wordWrap/>
        <w:overflowPunct/>
        <w:topLinePunct w:val="0"/>
        <w:bidi w:val="0"/>
        <w:spacing w:line="560" w:lineRule="exact"/>
        <w:ind w:firstLine="640" w:firstLineChars="200"/>
        <w:outlineLvl w:val="1"/>
        <w:rPr>
          <w:rFonts w:hint="eastAsia" w:ascii="仿宋" w:hAnsi="仿宋" w:eastAsia="仿宋" w:cs="仿宋"/>
          <w:color w:val="auto"/>
          <w:sz w:val="32"/>
          <w:szCs w:val="32"/>
        </w:rPr>
      </w:pPr>
      <w:r>
        <w:rPr>
          <w:rFonts w:hint="eastAsia" w:ascii="仿宋" w:hAnsi="仿宋" w:eastAsia="仿宋" w:cs="仿宋"/>
          <w:color w:val="auto"/>
          <w:sz w:val="32"/>
          <w:szCs w:val="32"/>
        </w:rPr>
        <w:t>11</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甲方安排的其它工作。</w:t>
      </w:r>
    </w:p>
    <w:p w14:paraId="3E21111C">
      <w:pPr>
        <w:keepNext w:val="0"/>
        <w:keepLines w:val="0"/>
        <w:pageBreakBefore w:val="0"/>
        <w:widowControl w:val="0"/>
        <w:wordWrap/>
        <w:overflowPunct/>
        <w:topLinePunct w:val="0"/>
        <w:bidi w:val="0"/>
        <w:spacing w:line="560" w:lineRule="exact"/>
        <w:ind w:firstLine="640" w:firstLineChars="200"/>
        <w:outlineLvl w:val="1"/>
        <w:rPr>
          <w:rFonts w:hint="eastAsia" w:ascii="黑体" w:hAnsi="黑体" w:eastAsia="黑体" w:cs="黑体"/>
          <w:color w:val="auto"/>
          <w:sz w:val="32"/>
          <w:szCs w:val="32"/>
        </w:rPr>
      </w:pPr>
      <w:r>
        <w:rPr>
          <w:rFonts w:hint="eastAsia" w:ascii="黑体" w:hAnsi="黑体" w:eastAsia="黑体" w:cs="黑体"/>
          <w:color w:val="auto"/>
          <w:sz w:val="32"/>
          <w:szCs w:val="32"/>
        </w:rPr>
        <w:t>第</w:t>
      </w:r>
      <w:r>
        <w:rPr>
          <w:rFonts w:hint="eastAsia" w:ascii="黑体" w:hAnsi="黑体" w:eastAsia="黑体" w:cs="黑体"/>
          <w:color w:val="auto"/>
          <w:sz w:val="32"/>
          <w:szCs w:val="32"/>
          <w:lang w:val="en-US" w:eastAsia="zh-CN"/>
        </w:rPr>
        <w:t>八</w:t>
      </w:r>
      <w:r>
        <w:rPr>
          <w:rFonts w:hint="eastAsia" w:ascii="黑体" w:hAnsi="黑体" w:eastAsia="黑体" w:cs="黑体"/>
          <w:color w:val="auto"/>
          <w:sz w:val="32"/>
          <w:szCs w:val="32"/>
        </w:rPr>
        <w:t>条、服务标准及考核办法</w:t>
      </w:r>
    </w:p>
    <w:p w14:paraId="2BED519B">
      <w:pPr>
        <w:keepNext w:val="0"/>
        <w:keepLines w:val="0"/>
        <w:pageBreakBefore w:val="0"/>
        <w:widowControl w:val="0"/>
        <w:wordWrap/>
        <w:overflowPunct/>
        <w:topLinePunct w:val="0"/>
        <w:bidi w:val="0"/>
        <w:spacing w:line="560" w:lineRule="exact"/>
        <w:ind w:firstLine="640" w:firstLineChars="200"/>
        <w:outlineLvl w:val="1"/>
        <w:rPr>
          <w:rFonts w:hint="eastAsia" w:ascii="仿宋" w:hAnsi="仿宋" w:eastAsia="仿宋" w:cs="仿宋"/>
          <w:color w:val="auto"/>
          <w:sz w:val="32"/>
          <w:szCs w:val="32"/>
        </w:rPr>
      </w:pPr>
      <w:r>
        <w:rPr>
          <w:rFonts w:hint="eastAsia" w:ascii="仿宋" w:hAnsi="仿宋" w:eastAsia="仿宋" w:cs="仿宋"/>
          <w:color w:val="auto"/>
          <w:sz w:val="32"/>
          <w:szCs w:val="32"/>
        </w:rPr>
        <w:t>按照招标文件和乙方投标文件响应的标准进行执行。</w:t>
      </w:r>
    </w:p>
    <w:p w14:paraId="4A606952">
      <w:pPr>
        <w:keepNext w:val="0"/>
        <w:keepLines w:val="0"/>
        <w:pageBreakBefore w:val="0"/>
        <w:widowControl w:val="0"/>
        <w:kinsoku/>
        <w:wordWrap/>
        <w:overflowPunct/>
        <w:topLinePunct w:val="0"/>
        <w:bidi w:val="0"/>
        <w:spacing w:line="560" w:lineRule="exact"/>
        <w:ind w:left="47" w:firstLine="640" w:firstLineChars="200"/>
        <w:outlineLvl w:val="1"/>
        <w:rPr>
          <w:rFonts w:hint="eastAsia" w:ascii="黑体" w:hAnsi="黑体" w:eastAsia="黑体" w:cs="黑体"/>
          <w:color w:val="auto"/>
          <w:sz w:val="32"/>
          <w:szCs w:val="32"/>
        </w:rPr>
      </w:pPr>
      <w:r>
        <w:rPr>
          <w:rFonts w:hint="eastAsia" w:ascii="黑体" w:hAnsi="黑体" w:eastAsia="黑体" w:cs="黑体"/>
          <w:color w:val="auto"/>
          <w:sz w:val="32"/>
          <w:szCs w:val="32"/>
        </w:rPr>
        <w:t>第</w:t>
      </w:r>
      <w:r>
        <w:rPr>
          <w:rFonts w:hint="eastAsia" w:ascii="黑体" w:hAnsi="黑体" w:eastAsia="黑体" w:cs="黑体"/>
          <w:color w:val="auto"/>
          <w:sz w:val="32"/>
          <w:szCs w:val="32"/>
          <w:lang w:val="en-US" w:eastAsia="zh-CN"/>
        </w:rPr>
        <w:t>九</w:t>
      </w:r>
      <w:r>
        <w:rPr>
          <w:rFonts w:hint="eastAsia" w:ascii="黑体" w:hAnsi="黑体" w:eastAsia="黑体" w:cs="黑体"/>
          <w:color w:val="auto"/>
          <w:sz w:val="32"/>
          <w:szCs w:val="32"/>
        </w:rPr>
        <w:t>条、质量及安全保证</w:t>
      </w:r>
    </w:p>
    <w:p w14:paraId="6FB54999">
      <w:pPr>
        <w:keepNext w:val="0"/>
        <w:keepLines w:val="0"/>
        <w:pageBreakBefore w:val="0"/>
        <w:widowControl w:val="0"/>
        <w:kinsoku/>
        <w:wordWrap/>
        <w:overflowPunct/>
        <w:topLinePunct w:val="0"/>
        <w:bidi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1、提供服务的人员必须严格遵守国家相关法律法规。</w:t>
      </w:r>
    </w:p>
    <w:p w14:paraId="18D5787B">
      <w:pPr>
        <w:keepNext w:val="0"/>
        <w:keepLines w:val="0"/>
        <w:pageBreakBefore w:val="0"/>
        <w:widowControl w:val="0"/>
        <w:kinsoku/>
        <w:wordWrap/>
        <w:overflowPunct/>
        <w:topLinePunct w:val="0"/>
        <w:bidi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2、提供服务的公司必须具备项目服务能力。</w:t>
      </w:r>
    </w:p>
    <w:p w14:paraId="507BD0F0">
      <w:pPr>
        <w:keepNext w:val="0"/>
        <w:keepLines w:val="0"/>
        <w:pageBreakBefore w:val="0"/>
        <w:widowControl w:val="0"/>
        <w:kinsoku/>
        <w:wordWrap/>
        <w:overflowPunct/>
        <w:topLinePunct w:val="0"/>
        <w:bidi w:val="0"/>
        <w:spacing w:line="560" w:lineRule="exact"/>
        <w:ind w:right="242"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3、提供服务的公司必须按国家和地方相关法律法规要求。</w:t>
      </w:r>
    </w:p>
    <w:p w14:paraId="390B6141">
      <w:pPr>
        <w:keepNext w:val="0"/>
        <w:keepLines w:val="0"/>
        <w:pageBreakBefore w:val="0"/>
        <w:widowControl w:val="0"/>
        <w:kinsoku/>
        <w:wordWrap/>
        <w:overflowPunct/>
        <w:topLinePunct w:val="0"/>
        <w:bidi w:val="0"/>
        <w:spacing w:line="560" w:lineRule="exact"/>
        <w:ind w:left="47" w:firstLine="640" w:firstLineChars="200"/>
        <w:outlineLvl w:val="1"/>
        <w:rPr>
          <w:rFonts w:hint="eastAsia" w:ascii="黑体" w:hAnsi="黑体" w:eastAsia="黑体" w:cs="黑体"/>
          <w:color w:val="auto"/>
          <w:sz w:val="32"/>
          <w:szCs w:val="32"/>
        </w:rPr>
      </w:pPr>
      <w:r>
        <w:rPr>
          <w:rFonts w:hint="eastAsia" w:ascii="黑体" w:hAnsi="黑体" w:eastAsia="黑体" w:cs="黑体"/>
          <w:color w:val="auto"/>
          <w:sz w:val="32"/>
          <w:szCs w:val="32"/>
        </w:rPr>
        <w:t>第</w:t>
      </w:r>
      <w:r>
        <w:rPr>
          <w:rFonts w:hint="eastAsia" w:ascii="黑体" w:hAnsi="黑体" w:eastAsia="黑体" w:cs="黑体"/>
          <w:color w:val="auto"/>
          <w:sz w:val="32"/>
          <w:szCs w:val="32"/>
          <w:lang w:val="en-US" w:eastAsia="zh-CN"/>
        </w:rPr>
        <w:t>十</w:t>
      </w:r>
      <w:r>
        <w:rPr>
          <w:rFonts w:hint="eastAsia" w:ascii="黑体" w:hAnsi="黑体" w:eastAsia="黑体" w:cs="黑体"/>
          <w:color w:val="auto"/>
          <w:sz w:val="32"/>
          <w:szCs w:val="32"/>
        </w:rPr>
        <w:t>条、服务职责</w:t>
      </w:r>
    </w:p>
    <w:p w14:paraId="46BC7432">
      <w:pPr>
        <w:keepNext w:val="0"/>
        <w:keepLines w:val="0"/>
        <w:pageBreakBefore w:val="0"/>
        <w:widowControl w:val="0"/>
        <w:kinsoku/>
        <w:wordWrap/>
        <w:overflowPunct/>
        <w:topLinePunct w:val="0"/>
        <w:bidi w:val="0"/>
        <w:spacing w:line="560" w:lineRule="exact"/>
        <w:ind w:right="156"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乙方及服务人员必须严格遵守相关规定，建立健全岗位责任制度和管理制度、各种紧急(突发)事件应对处置预案等服务管理制度体系,并加强对服务人员的管理。</w:t>
      </w:r>
    </w:p>
    <w:p w14:paraId="5872240A">
      <w:pPr>
        <w:keepNext w:val="0"/>
        <w:keepLines w:val="0"/>
        <w:pageBreakBefore w:val="0"/>
        <w:widowControl w:val="0"/>
        <w:kinsoku/>
        <w:wordWrap/>
        <w:overflowPunct/>
        <w:topLinePunct w:val="0"/>
        <w:bidi w:val="0"/>
        <w:spacing w:line="560" w:lineRule="exact"/>
        <w:ind w:left="47" w:firstLine="640" w:firstLineChars="200"/>
        <w:outlineLvl w:val="1"/>
        <w:rPr>
          <w:rFonts w:hint="eastAsia" w:ascii="黑体" w:hAnsi="黑体" w:eastAsia="黑体" w:cs="黑体"/>
          <w:color w:val="auto"/>
          <w:sz w:val="32"/>
          <w:szCs w:val="32"/>
        </w:rPr>
      </w:pPr>
      <w:r>
        <w:rPr>
          <w:rFonts w:hint="eastAsia" w:ascii="黑体" w:hAnsi="黑体" w:eastAsia="黑体" w:cs="黑体"/>
          <w:color w:val="auto"/>
          <w:sz w:val="32"/>
          <w:szCs w:val="32"/>
        </w:rPr>
        <w:t>第十</w:t>
      </w:r>
      <w:r>
        <w:rPr>
          <w:rFonts w:hint="eastAsia" w:ascii="黑体" w:hAnsi="黑体" w:eastAsia="黑体" w:cs="黑体"/>
          <w:color w:val="auto"/>
          <w:sz w:val="32"/>
          <w:szCs w:val="32"/>
          <w:lang w:val="en-US" w:eastAsia="zh-CN"/>
        </w:rPr>
        <w:t>一</w:t>
      </w:r>
      <w:r>
        <w:rPr>
          <w:rFonts w:hint="eastAsia" w:ascii="黑体" w:hAnsi="黑体" w:eastAsia="黑体" w:cs="黑体"/>
          <w:color w:val="auto"/>
          <w:sz w:val="32"/>
          <w:szCs w:val="32"/>
        </w:rPr>
        <w:t>条、验收</w:t>
      </w:r>
    </w:p>
    <w:p w14:paraId="59C50D97">
      <w:pPr>
        <w:keepNext w:val="0"/>
        <w:keepLines w:val="0"/>
        <w:pageBreakBefore w:val="0"/>
        <w:widowControl w:val="0"/>
        <w:kinsoku/>
        <w:wordWrap/>
        <w:overflowPunct/>
        <w:topLinePunct w:val="0"/>
        <w:bidi w:val="0"/>
        <w:spacing w:line="560" w:lineRule="exact"/>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rPr>
        <w:t>1</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由甲方组织或委托相关部门服务期间进行现场巡检、验收</w:t>
      </w:r>
      <w:r>
        <w:rPr>
          <w:rFonts w:hint="eastAsia" w:ascii="仿宋" w:hAnsi="仿宋" w:eastAsia="仿宋" w:cs="仿宋"/>
          <w:color w:val="auto"/>
          <w:sz w:val="32"/>
          <w:szCs w:val="32"/>
          <w:lang w:eastAsia="zh-CN"/>
        </w:rPr>
        <w:t>。</w:t>
      </w:r>
    </w:p>
    <w:p w14:paraId="26EADC86">
      <w:pPr>
        <w:keepNext w:val="0"/>
        <w:keepLines w:val="0"/>
        <w:pageBreakBefore w:val="0"/>
        <w:widowControl w:val="0"/>
        <w:kinsoku/>
        <w:wordWrap/>
        <w:overflowPunct/>
        <w:topLinePunct w:val="0"/>
        <w:bidi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验收依据：协议文本、中标单位的投标文件和招标文件。</w:t>
      </w:r>
    </w:p>
    <w:p w14:paraId="1B1AB535">
      <w:pPr>
        <w:keepNext w:val="0"/>
        <w:keepLines w:val="0"/>
        <w:pageBreakBefore w:val="0"/>
        <w:widowControl w:val="0"/>
        <w:kinsoku/>
        <w:wordWrap/>
        <w:overflowPunct/>
        <w:topLinePunct w:val="0"/>
        <w:bidi w:val="0"/>
        <w:spacing w:line="560" w:lineRule="exact"/>
        <w:ind w:firstLine="640" w:firstLineChars="200"/>
        <w:outlineLvl w:val="1"/>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第</w:t>
      </w:r>
      <w:r>
        <w:rPr>
          <w:rFonts w:hint="eastAsia" w:ascii="黑体" w:hAnsi="黑体" w:eastAsia="黑体" w:cs="黑体"/>
          <w:color w:val="auto"/>
          <w:sz w:val="32"/>
          <w:szCs w:val="32"/>
        </w:rPr>
        <w:t>十</w:t>
      </w:r>
      <w:r>
        <w:rPr>
          <w:rFonts w:hint="eastAsia" w:ascii="黑体" w:hAnsi="黑体" w:eastAsia="黑体" w:cs="黑体"/>
          <w:color w:val="auto"/>
          <w:sz w:val="32"/>
          <w:szCs w:val="32"/>
          <w:lang w:val="en-US" w:eastAsia="zh-CN"/>
        </w:rPr>
        <w:t>二</w:t>
      </w:r>
      <w:r>
        <w:rPr>
          <w:rFonts w:hint="eastAsia" w:ascii="黑体" w:hAnsi="黑体" w:eastAsia="黑体" w:cs="黑体"/>
          <w:color w:val="auto"/>
          <w:sz w:val="32"/>
          <w:szCs w:val="32"/>
        </w:rPr>
        <w:t>条、甲方的权利和义务</w:t>
      </w:r>
    </w:p>
    <w:p w14:paraId="6AA67264">
      <w:pPr>
        <w:keepNext w:val="0"/>
        <w:keepLines w:val="0"/>
        <w:pageBreakBefore w:val="0"/>
        <w:widowControl w:val="0"/>
        <w:kinsoku/>
        <w:wordWrap/>
        <w:overflowPunct/>
        <w:topLinePunct w:val="0"/>
        <w:bidi w:val="0"/>
        <w:spacing w:line="560" w:lineRule="exact"/>
        <w:ind w:left="34" w:right="75"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甲方委派专门人员对乙方及服务人员的工作每日进行监督、检查和指导，对存在问题列入限时督办整改。有权向乙方要求调换不适合在甲方工作的服务人员，更换三次以上的，甲方有权解除协议，并支付更换服务人员实际工作天数的服务费。因乙方工作失职造成甲方财产损失，甲方有权要求乙方赔偿。</w:t>
      </w:r>
    </w:p>
    <w:p w14:paraId="0E7F52C1">
      <w:pPr>
        <w:keepNext w:val="0"/>
        <w:keepLines w:val="0"/>
        <w:pageBreakBefore w:val="0"/>
        <w:widowControl w:val="0"/>
        <w:kinsoku/>
        <w:wordWrap/>
        <w:overflowPunct/>
        <w:topLinePunct w:val="0"/>
        <w:bidi w:val="0"/>
        <w:spacing w:line="560" w:lineRule="exact"/>
        <w:ind w:left="34" w:right="159"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2、甲方有权要求乙方服务人员遵守甲方的规章制度，并对甲方相关信息资料进行保密。</w:t>
      </w:r>
    </w:p>
    <w:p w14:paraId="45966338">
      <w:pPr>
        <w:keepNext w:val="0"/>
        <w:keepLines w:val="0"/>
        <w:pageBreakBefore w:val="0"/>
        <w:widowControl w:val="0"/>
        <w:kinsoku/>
        <w:wordWrap/>
        <w:overflowPunct/>
        <w:topLinePunct w:val="0"/>
        <w:bidi w:val="0"/>
        <w:spacing w:line="560" w:lineRule="exact"/>
        <w:ind w:left="54" w:right="159"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3、甲方对乙方提出的安全问题应及时、认真研究解决，采取必要的改进和防范措施。</w:t>
      </w:r>
    </w:p>
    <w:p w14:paraId="35694285">
      <w:pPr>
        <w:keepNext w:val="0"/>
        <w:keepLines w:val="0"/>
        <w:pageBreakBefore w:val="0"/>
        <w:widowControl w:val="0"/>
        <w:kinsoku/>
        <w:wordWrap/>
        <w:overflowPunct/>
        <w:topLinePunct w:val="0"/>
        <w:bidi w:val="0"/>
        <w:spacing w:line="560" w:lineRule="exact"/>
        <w:ind w:left="40" w:right="159"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4、甲方对乙方服务人员履行职责的行为予以支持、配合，尊重和保障服务人员的合法权益。</w:t>
      </w:r>
    </w:p>
    <w:p w14:paraId="44D924D2">
      <w:pPr>
        <w:keepNext w:val="0"/>
        <w:keepLines w:val="0"/>
        <w:pageBreakBefore w:val="0"/>
        <w:widowControl w:val="0"/>
        <w:kinsoku/>
        <w:wordWrap/>
        <w:overflowPunct/>
        <w:topLinePunct w:val="0"/>
        <w:bidi w:val="0"/>
        <w:spacing w:line="560" w:lineRule="exact"/>
        <w:ind w:left="36" w:right="159"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5、甲方有权对乙方配备的服务人员进行审核，乙方如更换服务人员，应征得甲方同意后更换。</w:t>
      </w:r>
    </w:p>
    <w:p w14:paraId="37B9A251">
      <w:pPr>
        <w:keepNext w:val="0"/>
        <w:keepLines w:val="0"/>
        <w:pageBreakBefore w:val="0"/>
        <w:widowControl w:val="0"/>
        <w:kinsoku/>
        <w:wordWrap/>
        <w:overflowPunct/>
        <w:topLinePunct w:val="0"/>
        <w:bidi w:val="0"/>
        <w:spacing w:line="560" w:lineRule="exact"/>
        <w:ind w:left="36" w:right="159"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6、甲方应按协议约定及时向乙方支付服务费用。</w:t>
      </w:r>
    </w:p>
    <w:p w14:paraId="6794C19C">
      <w:pPr>
        <w:keepNext w:val="0"/>
        <w:keepLines w:val="0"/>
        <w:pageBreakBefore w:val="0"/>
        <w:widowControl w:val="0"/>
        <w:kinsoku/>
        <w:wordWrap/>
        <w:overflowPunct/>
        <w:topLinePunct w:val="0"/>
        <w:bidi w:val="0"/>
        <w:spacing w:line="560" w:lineRule="exact"/>
        <w:ind w:left="35" w:right="217"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7、甲方有权根据省、市上级相关规定，及时修订道路清扫保洁考核标准，按道路等级考核结算项目服务费用。</w:t>
      </w:r>
    </w:p>
    <w:p w14:paraId="4F7693EB">
      <w:pPr>
        <w:keepNext w:val="0"/>
        <w:keepLines w:val="0"/>
        <w:pageBreakBefore w:val="0"/>
        <w:widowControl w:val="0"/>
        <w:kinsoku/>
        <w:wordWrap/>
        <w:overflowPunct/>
        <w:topLinePunct w:val="0"/>
        <w:bidi w:val="0"/>
        <w:spacing w:line="560" w:lineRule="exact"/>
        <w:ind w:left="42" w:right="156"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8、甲方不预付服务费，乙方承包道路保洁劳务期间所产生的保洁费用由乙方承担。甲方对中标单位的工作质量进行监督检查，并按照管理办法和考核标准对乙方进行考核。</w:t>
      </w:r>
    </w:p>
    <w:p w14:paraId="08280555">
      <w:pPr>
        <w:keepNext w:val="0"/>
        <w:keepLines w:val="0"/>
        <w:pageBreakBefore w:val="0"/>
        <w:widowControl w:val="0"/>
        <w:kinsoku/>
        <w:wordWrap/>
        <w:overflowPunct/>
        <w:topLinePunct w:val="0"/>
        <w:bidi w:val="0"/>
        <w:spacing w:line="560" w:lineRule="exact"/>
        <w:ind w:left="42" w:right="156"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9、如遇重大接待、卫生检查及应急预案的紧急启动，甲方有权调用车辆，并监督乙方对甲方资产的使用情况。</w:t>
      </w:r>
    </w:p>
    <w:p w14:paraId="142E026A">
      <w:pPr>
        <w:keepNext w:val="0"/>
        <w:keepLines w:val="0"/>
        <w:pageBreakBefore w:val="0"/>
        <w:widowControl w:val="0"/>
        <w:kinsoku/>
        <w:wordWrap/>
        <w:overflowPunct/>
        <w:topLinePunct w:val="0"/>
        <w:bidi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10、甲方为提升高新区市容环境整体形象，有权要求乙方以统一标准自行采购保洁工人及其他人员的工作服装(含：春秋两套、夏季两套、冬季防寒服(棉大衣)一套、雨衣一套、反光背心、红袖章)，根据承包单位核定人数制作，由承包方承担费用，在签订承包协议前配置完毕，甲方采取不定期方式进行监督考核。</w:t>
      </w:r>
    </w:p>
    <w:p w14:paraId="441F6A49">
      <w:pPr>
        <w:keepNext w:val="0"/>
        <w:keepLines w:val="0"/>
        <w:pageBreakBefore w:val="0"/>
        <w:widowControl w:val="0"/>
        <w:kinsoku/>
        <w:wordWrap/>
        <w:overflowPunct/>
        <w:topLinePunct w:val="0"/>
        <w:bidi w:val="0"/>
        <w:spacing w:line="560" w:lineRule="exact"/>
        <w:ind w:left="64" w:right="156"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11、核定因市政施工、交通事故及不可抗力造成的环卫设施设备的损失并予以补充。</w:t>
      </w:r>
    </w:p>
    <w:p w14:paraId="043D3AD4">
      <w:pPr>
        <w:keepNext w:val="0"/>
        <w:keepLines w:val="0"/>
        <w:pageBreakBefore w:val="0"/>
        <w:widowControl w:val="0"/>
        <w:kinsoku/>
        <w:wordWrap/>
        <w:overflowPunct/>
        <w:topLinePunct w:val="0"/>
        <w:bidi w:val="0"/>
        <w:spacing w:line="560" w:lineRule="exact"/>
        <w:ind w:left="72" w:right="75"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12、乙方连续三次以上对督办整改问题不予执行或执行不力，且警告无效者，甲方有权终止本协议。</w:t>
      </w:r>
    </w:p>
    <w:p w14:paraId="3C06955B">
      <w:pPr>
        <w:keepNext w:val="0"/>
        <w:keepLines w:val="0"/>
        <w:pageBreakBefore w:val="0"/>
        <w:widowControl w:val="0"/>
        <w:kinsoku/>
        <w:wordWrap/>
        <w:overflowPunct/>
        <w:topLinePunct w:val="0"/>
        <w:bidi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13、甲方有权对本协议涉及附件根据实际情况变化进行补充修订。</w:t>
      </w:r>
    </w:p>
    <w:p w14:paraId="639CA2B1">
      <w:pPr>
        <w:keepNext w:val="0"/>
        <w:keepLines w:val="0"/>
        <w:pageBreakBefore w:val="0"/>
        <w:widowControl w:val="0"/>
        <w:kinsoku/>
        <w:wordWrap/>
        <w:overflowPunct/>
        <w:topLinePunct w:val="0"/>
        <w:bidi w:val="0"/>
        <w:spacing w:line="560" w:lineRule="exact"/>
        <w:ind w:left="41" w:right="156"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14、甲方对设施设备的使用有权监督，以保证按规定操作，乙方没有按照要求操作的，甲方有权书面通知乙方限期改正，乙方拒不改正的，甲方可根据考核结果按照具体情形每次扣除当月保洁费的5%-10%。</w:t>
      </w:r>
    </w:p>
    <w:p w14:paraId="0B1A49F4">
      <w:pPr>
        <w:keepNext w:val="0"/>
        <w:keepLines w:val="0"/>
        <w:pageBreakBefore w:val="0"/>
        <w:widowControl w:val="0"/>
        <w:kinsoku/>
        <w:wordWrap/>
        <w:overflowPunct/>
        <w:topLinePunct w:val="0"/>
        <w:bidi w:val="0"/>
        <w:spacing w:line="560" w:lineRule="exact"/>
        <w:ind w:left="42" w:right="156"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15、审核乙方上报的管理方案、应急方案、安全文明管理办法等规章制度是否合理可行，提供技术指导和修改意见。</w:t>
      </w:r>
    </w:p>
    <w:p w14:paraId="0A93CD77">
      <w:pPr>
        <w:keepNext w:val="0"/>
        <w:keepLines w:val="0"/>
        <w:pageBreakBefore w:val="0"/>
        <w:widowControl w:val="0"/>
        <w:kinsoku/>
        <w:wordWrap/>
        <w:overflowPunct/>
        <w:topLinePunct w:val="0"/>
        <w:bidi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16、各项对乙方的处罚及扣款在月底核算当月费用时直接扣除。</w:t>
      </w:r>
    </w:p>
    <w:p w14:paraId="633E0E11">
      <w:pPr>
        <w:keepNext w:val="0"/>
        <w:keepLines w:val="0"/>
        <w:pageBreakBefore w:val="0"/>
        <w:widowControl w:val="0"/>
        <w:kinsoku/>
        <w:wordWrap/>
        <w:overflowPunct/>
        <w:topLinePunct w:val="0"/>
        <w:bidi w:val="0"/>
        <w:spacing w:line="560" w:lineRule="exact"/>
        <w:ind w:left="43" w:right="154"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17、甲方有权对乙方环卫工人的工资、福利、保险、工具的发放和配备进行监督和检查</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如遇乙方拒绝对环卫工人履行的工资、福利、保险、工具发放和配备，或在配备过程中弄虚作假，不按文件执行的，甲方有权追责</w:t>
      </w:r>
      <w:r>
        <w:rPr>
          <w:rFonts w:hint="eastAsia" w:ascii="仿宋" w:hAnsi="仿宋" w:eastAsia="仿宋" w:cs="仿宋"/>
          <w:color w:val="auto"/>
          <w:sz w:val="32"/>
          <w:szCs w:val="32"/>
        </w:rPr>
        <w:t>。</w:t>
      </w:r>
    </w:p>
    <w:p w14:paraId="5EAE9916">
      <w:pPr>
        <w:keepNext w:val="0"/>
        <w:keepLines w:val="0"/>
        <w:pageBreakBefore w:val="0"/>
        <w:widowControl w:val="0"/>
        <w:kinsoku/>
        <w:wordWrap/>
        <w:overflowPunct/>
        <w:topLinePunct w:val="0"/>
        <w:bidi w:val="0"/>
        <w:spacing w:line="560" w:lineRule="exact"/>
        <w:ind w:left="36" w:right="156"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18、甲方根据实际情况可以分派乙方临时任务，乙方应按照甲方的要求保质保量完成工作。</w:t>
      </w:r>
    </w:p>
    <w:p w14:paraId="6B33C4F2">
      <w:pPr>
        <w:keepNext w:val="0"/>
        <w:keepLines w:val="0"/>
        <w:pageBreakBefore w:val="0"/>
        <w:widowControl w:val="0"/>
        <w:kinsoku/>
        <w:wordWrap/>
        <w:overflowPunct/>
        <w:topLinePunct w:val="0"/>
        <w:bidi w:val="0"/>
        <w:spacing w:line="560" w:lineRule="exact"/>
        <w:ind w:left="36" w:right="156"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19、承包协议签订后，甲方现已采购的所有环卫工具、设施和设备移交乙方使用，产权归甲方所有，乙方仅享有使用权</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在合同期满后，甲方移交的环卫工具、设施和设备乙方需保质保量交付甲方，损耗品不在计算范围</w:t>
      </w:r>
      <w:r>
        <w:rPr>
          <w:rFonts w:hint="eastAsia" w:ascii="仿宋" w:hAnsi="仿宋" w:eastAsia="仿宋" w:cs="仿宋"/>
          <w:color w:val="auto"/>
          <w:sz w:val="32"/>
          <w:szCs w:val="32"/>
        </w:rPr>
        <w:t>。</w:t>
      </w:r>
    </w:p>
    <w:p w14:paraId="3C175D98">
      <w:pPr>
        <w:keepNext w:val="0"/>
        <w:keepLines w:val="0"/>
        <w:pageBreakBefore w:val="0"/>
        <w:widowControl w:val="0"/>
        <w:kinsoku/>
        <w:wordWrap/>
        <w:overflowPunct/>
        <w:topLinePunct w:val="0"/>
        <w:bidi w:val="0"/>
        <w:spacing w:line="560" w:lineRule="exact"/>
        <w:ind w:left="47" w:firstLine="640" w:firstLineChars="200"/>
        <w:outlineLvl w:val="1"/>
        <w:rPr>
          <w:rFonts w:hint="eastAsia" w:ascii="黑体" w:hAnsi="黑体" w:eastAsia="黑体" w:cs="黑体"/>
          <w:color w:val="auto"/>
          <w:sz w:val="32"/>
          <w:szCs w:val="32"/>
        </w:rPr>
      </w:pPr>
      <w:r>
        <w:rPr>
          <w:rFonts w:hint="eastAsia" w:ascii="黑体" w:hAnsi="黑体" w:eastAsia="黑体" w:cs="黑体"/>
          <w:color w:val="auto"/>
          <w:sz w:val="32"/>
          <w:szCs w:val="32"/>
        </w:rPr>
        <w:t>第十</w:t>
      </w:r>
      <w:r>
        <w:rPr>
          <w:rFonts w:hint="eastAsia" w:ascii="黑体" w:hAnsi="黑体" w:eastAsia="黑体" w:cs="黑体"/>
          <w:color w:val="auto"/>
          <w:sz w:val="32"/>
          <w:szCs w:val="32"/>
          <w:lang w:val="en-US" w:eastAsia="zh-CN"/>
        </w:rPr>
        <w:t>三</w:t>
      </w:r>
      <w:r>
        <w:rPr>
          <w:rFonts w:hint="eastAsia" w:ascii="黑体" w:hAnsi="黑体" w:eastAsia="黑体" w:cs="黑体"/>
          <w:color w:val="auto"/>
          <w:sz w:val="32"/>
          <w:szCs w:val="32"/>
        </w:rPr>
        <w:t>条、乙方的权利和义务</w:t>
      </w:r>
    </w:p>
    <w:p w14:paraId="676E566D">
      <w:pPr>
        <w:keepNext w:val="0"/>
        <w:keepLines w:val="0"/>
        <w:pageBreakBefore w:val="0"/>
        <w:widowControl w:val="0"/>
        <w:kinsoku/>
        <w:wordWrap/>
        <w:overflowPunct/>
        <w:topLinePunct w:val="0"/>
        <w:bidi w:val="0"/>
        <w:spacing w:line="560" w:lineRule="exact"/>
        <w:ind w:left="36" w:right="62"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1、乙方应按协议配备足额服务人员，负责协议范围内的保洁清扫工作，确保</w:t>
      </w:r>
      <w:r>
        <w:rPr>
          <w:rFonts w:hint="eastAsia" w:ascii="仿宋" w:hAnsi="仿宋" w:eastAsia="仿宋" w:cs="仿宋"/>
          <w:color w:val="auto"/>
          <w:sz w:val="32"/>
          <w:szCs w:val="32"/>
          <w:lang w:val="en-US" w:eastAsia="zh-CN"/>
        </w:rPr>
        <w:t>五星</w:t>
      </w:r>
      <w:r>
        <w:rPr>
          <w:rFonts w:hint="eastAsia" w:ascii="仿宋" w:hAnsi="仿宋" w:eastAsia="仿宋" w:cs="仿宋"/>
          <w:color w:val="auto"/>
          <w:sz w:val="32"/>
          <w:szCs w:val="32"/>
        </w:rPr>
        <w:t>街道2025年环卫保洁及公厕管理、绿化养护项目的安全稳定，保证文明、高效的履行服务职责，负责对乙方服务人员的教育、培训和管理以及人员调整和休假安排。工作过渡期间，甲方前期雇佣的相关人员由乙方全部接收，劳动雇佣关系转移至乙方，乙方应在服务人员中确定一名项目负责人，项目负责人负责与甲方的联系沟通。（乙方项目负责人：</w:t>
      </w:r>
      <w:r>
        <w:rPr>
          <w:rFonts w:hint="eastAsia" w:ascii="仿宋" w:hAnsi="仿宋" w:eastAsia="仿宋" w:cs="仿宋"/>
          <w:color w:val="auto"/>
          <w:sz w:val="32"/>
          <w:szCs w:val="32"/>
          <w:u w:val="single"/>
        </w:rPr>
        <w:t xml:space="preserve"> </w:t>
      </w:r>
      <w:r>
        <w:rPr>
          <w:rFonts w:hint="eastAsia" w:ascii="仿宋" w:hAnsi="仿宋" w:eastAsia="仿宋" w:cs="仿宋"/>
          <w:color w:val="auto"/>
          <w:sz w:val="32"/>
          <w:szCs w:val="32"/>
          <w:u w:val="single"/>
          <w:lang w:val="en-US" w:eastAsia="zh-CN"/>
        </w:rPr>
        <w:t xml:space="preserve">    </w:t>
      </w:r>
      <w:r>
        <w:rPr>
          <w:rFonts w:hint="eastAsia" w:ascii="仿宋" w:hAnsi="仿宋" w:eastAsia="仿宋" w:cs="仿宋"/>
          <w:color w:val="auto"/>
          <w:sz w:val="32"/>
          <w:szCs w:val="32"/>
        </w:rPr>
        <w:t xml:space="preserve"> 联系电话：</w:t>
      </w:r>
      <w:r>
        <w:rPr>
          <w:rFonts w:hint="eastAsia" w:ascii="仿宋" w:hAnsi="仿宋" w:eastAsia="仿宋" w:cs="仿宋"/>
          <w:color w:val="auto"/>
          <w:sz w:val="32"/>
          <w:szCs w:val="32"/>
          <w:u w:val="single"/>
          <w:lang w:val="en-US" w:eastAsia="zh-CN"/>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w:t>
      </w:r>
    </w:p>
    <w:p w14:paraId="0EF67502">
      <w:pPr>
        <w:keepNext w:val="0"/>
        <w:keepLines w:val="0"/>
        <w:pageBreakBefore w:val="0"/>
        <w:widowControl w:val="0"/>
        <w:kinsoku/>
        <w:wordWrap/>
        <w:overflowPunct/>
        <w:topLinePunct w:val="0"/>
        <w:bidi w:val="0"/>
        <w:spacing w:line="560" w:lineRule="exact"/>
        <w:ind w:right="159"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2、乙方可以决定公司的机构设置、人事任免和专业技术人员的聘任，依照有关规定奖惩、招用职工和辞退违纪职工。</w:t>
      </w:r>
    </w:p>
    <w:p w14:paraId="1FF3864D">
      <w:pPr>
        <w:keepNext w:val="0"/>
        <w:keepLines w:val="0"/>
        <w:pageBreakBefore w:val="0"/>
        <w:widowControl w:val="0"/>
        <w:kinsoku/>
        <w:wordWrap/>
        <w:overflowPunct/>
        <w:topLinePunct w:val="0"/>
        <w:bidi w:val="0"/>
        <w:spacing w:line="560" w:lineRule="exact"/>
        <w:ind w:right="159"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3、制定内部分配制度，在符合法律规定的范围内自选工资形式。</w:t>
      </w:r>
    </w:p>
    <w:p w14:paraId="5C73F0C4">
      <w:pPr>
        <w:keepNext w:val="0"/>
        <w:keepLines w:val="0"/>
        <w:pageBreakBefore w:val="0"/>
        <w:widowControl w:val="0"/>
        <w:kinsoku/>
        <w:wordWrap/>
        <w:overflowPunct/>
        <w:topLinePunct w:val="0"/>
        <w:bidi w:val="0"/>
        <w:spacing w:line="560" w:lineRule="exact"/>
        <w:ind w:right="159"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4、未经甲方同意，乙方不得擅自变更本保洁在投标文件中认定的承包范围。</w:t>
      </w:r>
    </w:p>
    <w:p w14:paraId="66E88344">
      <w:pPr>
        <w:keepNext w:val="0"/>
        <w:keepLines w:val="0"/>
        <w:pageBreakBefore w:val="0"/>
        <w:widowControl w:val="0"/>
        <w:kinsoku/>
        <w:wordWrap/>
        <w:overflowPunct/>
        <w:topLinePunct w:val="0"/>
        <w:bidi w:val="0"/>
        <w:spacing w:line="560" w:lineRule="exact"/>
        <w:ind w:right="159"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5、乙方对签订协议区域必须自行保洁，不得转让、拆分、改变；如出现转让、拆分等情况，甲方有权立即终止承包协议。</w:t>
      </w:r>
    </w:p>
    <w:p w14:paraId="0100AF68">
      <w:pPr>
        <w:keepNext w:val="0"/>
        <w:keepLines w:val="0"/>
        <w:pageBreakBefore w:val="0"/>
        <w:widowControl w:val="0"/>
        <w:kinsoku/>
        <w:wordWrap/>
        <w:overflowPunct/>
        <w:topLinePunct w:val="0"/>
        <w:bidi w:val="0"/>
        <w:spacing w:line="560" w:lineRule="exact"/>
        <w:ind w:right="159"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6、为确保保洁质量，乙方应组织一支技术骨干队伍，建立严格的质量管理体系，操作规范，成效突出。</w:t>
      </w:r>
    </w:p>
    <w:p w14:paraId="052E87CA">
      <w:pPr>
        <w:keepNext w:val="0"/>
        <w:keepLines w:val="0"/>
        <w:pageBreakBefore w:val="0"/>
        <w:widowControl w:val="0"/>
        <w:kinsoku/>
        <w:wordWrap/>
        <w:overflowPunct/>
        <w:topLinePunct w:val="0"/>
        <w:bidi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7、负责对保洁工人进行安全教育，岗前培训，提供安全作业的一切措施，并承担相应的安全责任及费用。</w:t>
      </w:r>
    </w:p>
    <w:p w14:paraId="651BFC54">
      <w:pPr>
        <w:keepNext w:val="0"/>
        <w:keepLines w:val="0"/>
        <w:pageBreakBefore w:val="0"/>
        <w:widowControl w:val="0"/>
        <w:kinsoku/>
        <w:wordWrap/>
        <w:overflowPunct/>
        <w:topLinePunct w:val="0"/>
        <w:bidi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8、服从甲方制定的保洁管理标准和考核评分办法等相关规定。</w:t>
      </w:r>
    </w:p>
    <w:p w14:paraId="7DABFD96">
      <w:pPr>
        <w:keepNext w:val="0"/>
        <w:keepLines w:val="0"/>
        <w:pageBreakBefore w:val="0"/>
        <w:widowControl w:val="0"/>
        <w:kinsoku/>
        <w:wordWrap/>
        <w:overflowPunct/>
        <w:topLinePunct w:val="0"/>
        <w:bidi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9、配合甲方完成高新区重大检查审核工作。</w:t>
      </w:r>
    </w:p>
    <w:p w14:paraId="4A2C6E8F">
      <w:pPr>
        <w:keepNext w:val="0"/>
        <w:keepLines w:val="0"/>
        <w:pageBreakBefore w:val="0"/>
        <w:widowControl w:val="0"/>
        <w:kinsoku/>
        <w:wordWrap/>
        <w:overflowPunct/>
        <w:topLinePunct w:val="0"/>
        <w:bidi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10、合法从事承包经营，响应政策号召及西安市和高新区相关领导部门的管理规定。</w:t>
      </w:r>
    </w:p>
    <w:p w14:paraId="29F937C8">
      <w:pPr>
        <w:keepNext w:val="0"/>
        <w:keepLines w:val="0"/>
        <w:pageBreakBefore w:val="0"/>
        <w:widowControl w:val="0"/>
        <w:kinsoku/>
        <w:wordWrap/>
        <w:overflowPunct/>
        <w:topLinePunct w:val="0"/>
        <w:bidi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11、建立体系齐全的内部管理机制体制及管理架构，报甲方审核后严格执行，保障高水平管理效能。</w:t>
      </w:r>
    </w:p>
    <w:p w14:paraId="58DDAB7A">
      <w:pPr>
        <w:keepNext w:val="0"/>
        <w:keepLines w:val="0"/>
        <w:pageBreakBefore w:val="0"/>
        <w:widowControl w:val="0"/>
        <w:kinsoku/>
        <w:wordWrap/>
        <w:overflowPunct/>
        <w:topLinePunct w:val="0"/>
        <w:bidi w:val="0"/>
        <w:spacing w:line="560" w:lineRule="exact"/>
        <w:ind w:right="75"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12、制定切实可行的管理方案、应急方案、安全文明管理办法等规章制度，报甲方审核后严格执行。</w:t>
      </w:r>
    </w:p>
    <w:p w14:paraId="4B084D86">
      <w:pPr>
        <w:keepNext w:val="0"/>
        <w:keepLines w:val="0"/>
        <w:pageBreakBefore w:val="0"/>
        <w:widowControl w:val="0"/>
        <w:kinsoku/>
        <w:wordWrap/>
        <w:overflowPunct/>
        <w:topLinePunct w:val="0"/>
        <w:bidi w:val="0"/>
        <w:spacing w:line="560" w:lineRule="exact"/>
        <w:ind w:right="154"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13、制定符合实际工作需要、科学合理可行的清扫保洁方案，设置管理及清扫保洁网格，人员配置明确，报甲方审核后严格执行。</w:t>
      </w:r>
    </w:p>
    <w:p w14:paraId="06998D9B">
      <w:pPr>
        <w:keepNext w:val="0"/>
        <w:keepLines w:val="0"/>
        <w:pageBreakBefore w:val="0"/>
        <w:widowControl w:val="0"/>
        <w:kinsoku/>
        <w:wordWrap/>
        <w:overflowPunct/>
        <w:topLinePunct w:val="0"/>
        <w:bidi w:val="0"/>
        <w:spacing w:line="560" w:lineRule="exact"/>
        <w:ind w:right="156"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14、</w:t>
      </w:r>
      <w:r>
        <w:rPr>
          <w:rFonts w:hint="eastAsia" w:ascii="仿宋" w:hAnsi="仿宋" w:eastAsia="仿宋" w:cs="仿宋"/>
          <w:color w:val="auto"/>
          <w:sz w:val="32"/>
          <w:szCs w:val="32"/>
          <w:lang w:val="en-US" w:eastAsia="zh-CN"/>
        </w:rPr>
        <w:t>乙方需建立工人工资专项账户，不得拖欠工人工资，同时加强对人员的管理，一切劳资纠纷隐患，必须主动积极性协调处理，不得推诿，绝不允许发生员工上访事件。</w:t>
      </w:r>
    </w:p>
    <w:p w14:paraId="55643B06">
      <w:pPr>
        <w:keepNext w:val="0"/>
        <w:keepLines w:val="0"/>
        <w:pageBreakBefore w:val="0"/>
        <w:widowControl w:val="0"/>
        <w:kinsoku/>
        <w:wordWrap/>
        <w:overflowPunct/>
        <w:topLinePunct w:val="0"/>
        <w:bidi w:val="0"/>
        <w:spacing w:line="560" w:lineRule="exact"/>
        <w:ind w:right="36"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16、承担所属公司员工的工资(不低于西安市城市管理局规定的最低工资)及与承包经营直接相关的成本费用。</w:t>
      </w:r>
    </w:p>
    <w:p w14:paraId="01393ADD">
      <w:pPr>
        <w:keepNext w:val="0"/>
        <w:keepLines w:val="0"/>
        <w:pageBreakBefore w:val="0"/>
        <w:widowControl w:val="0"/>
        <w:kinsoku/>
        <w:wordWrap/>
        <w:overflowPunct/>
        <w:topLinePunct w:val="0"/>
        <w:bidi w:val="0"/>
        <w:spacing w:line="560" w:lineRule="exact"/>
        <w:ind w:right="154"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17、必须依照国家有关规定，按期如数缴纳应缴纳的各种税、费和统筹基金。</w:t>
      </w:r>
    </w:p>
    <w:p w14:paraId="0B93D00F">
      <w:pPr>
        <w:keepNext w:val="0"/>
        <w:keepLines w:val="0"/>
        <w:pageBreakBefore w:val="0"/>
        <w:widowControl w:val="0"/>
        <w:kinsoku/>
        <w:wordWrap/>
        <w:overflowPunct/>
        <w:topLinePunct w:val="0"/>
        <w:bidi w:val="0"/>
        <w:spacing w:line="560" w:lineRule="exact"/>
        <w:ind w:right="154"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18、制定具体规章制度，实施合理措施，定期组织员工、专业司机学习业务、安全知识和交通法规，进行业务培训、安全教育，严格要求员工安全作业操作，保证员工及国家财产的安全并形成材料定期上报甲方。</w:t>
      </w:r>
    </w:p>
    <w:p w14:paraId="40A18387">
      <w:pPr>
        <w:keepNext w:val="0"/>
        <w:keepLines w:val="0"/>
        <w:pageBreakBefore w:val="0"/>
        <w:widowControl w:val="0"/>
        <w:kinsoku/>
        <w:wordWrap/>
        <w:overflowPunct/>
        <w:topLinePunct w:val="0"/>
        <w:bidi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19、乙方应严格遵守甲方规定的车辆管理制度，如甲方在考核中发现乙方在网格化作业范围外用车、用油，倒卖水、油发生，违规作业，将依据甲方车辆考核细则条款扣除乙方相应月承包费用，情节严重移送公安机关处理。</w:t>
      </w:r>
    </w:p>
    <w:p w14:paraId="0F3F9A3D">
      <w:pPr>
        <w:keepNext w:val="0"/>
        <w:keepLines w:val="0"/>
        <w:pageBreakBefore w:val="0"/>
        <w:widowControl w:val="0"/>
        <w:kinsoku/>
        <w:wordWrap/>
        <w:overflowPunct/>
        <w:topLinePunct w:val="0"/>
        <w:bidi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20、乙方进行道路保洁。日常人员出勤不得低于定编人员总数的95%，节假日人员出勤不得低于定编人员总数的80%(遇重大接待检查除外)。乙方为甲方提供保洁员工花名册及身份证明和人员分布图，遇有人员变动应及时变更。甲方根据乙方提供保洁员工花名册不定时、不定点进行人员核查。如日常人员出勤低于定编人员的95%，将按市城市管理局最新标准扣去差额百分比的人员工资费用；如节假日人员出勤低于定编人员的80%，将按市城市管理局最新标准扣去差额百分比的环卫人员双倍或三倍工资费用。</w:t>
      </w:r>
    </w:p>
    <w:p w14:paraId="160CDD32">
      <w:pPr>
        <w:keepNext w:val="0"/>
        <w:keepLines w:val="0"/>
        <w:pageBreakBefore w:val="0"/>
        <w:widowControl w:val="0"/>
        <w:kinsoku/>
        <w:wordWrap/>
        <w:overflowPunct/>
        <w:topLinePunct w:val="0"/>
        <w:bidi w:val="0"/>
        <w:spacing w:line="560" w:lineRule="exact"/>
        <w:ind w:right="156"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21、乙方每日完成道路普扫工作，未完成道路普扫、道路漏扫、垃圾收集不及时和其他空挡时间出现保洁不到位情况，甲方在取证后直接给予通报问责。</w:t>
      </w:r>
    </w:p>
    <w:p w14:paraId="068E8223">
      <w:pPr>
        <w:keepNext w:val="0"/>
        <w:keepLines w:val="0"/>
        <w:pageBreakBefore w:val="0"/>
        <w:widowControl w:val="0"/>
        <w:kinsoku/>
        <w:wordWrap/>
        <w:overflowPunct/>
        <w:topLinePunct w:val="0"/>
        <w:bidi w:val="0"/>
        <w:spacing w:line="560" w:lineRule="exact"/>
        <w:ind w:right="154"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22、乙方必须遵循安全作业和文明作业的规定，在履行本协议的过程中，采取严格的安全防范措施。对于清扫、保洁过程中发生的一切人身伤亡事故及其他损害，由乙方自行承担所有责任和费用，并上报甲方。若造成甲方因此而承担有关法律责任，乙方除应赔偿因此造成的一切损失外，甲方有权单方面解除本协议。</w:t>
      </w:r>
    </w:p>
    <w:p w14:paraId="24232A52">
      <w:pPr>
        <w:keepNext w:val="0"/>
        <w:keepLines w:val="0"/>
        <w:pageBreakBefore w:val="0"/>
        <w:widowControl w:val="0"/>
        <w:kinsoku/>
        <w:wordWrap/>
        <w:overflowPunct/>
        <w:topLinePunct w:val="0"/>
        <w:bidi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23、乙方必须为员工购买人身意外伤害保险。</w:t>
      </w:r>
    </w:p>
    <w:p w14:paraId="741B48B4">
      <w:pPr>
        <w:keepNext w:val="0"/>
        <w:keepLines w:val="0"/>
        <w:pageBreakBefore w:val="0"/>
        <w:widowControl w:val="0"/>
        <w:kinsoku/>
        <w:wordWrap/>
        <w:overflowPunct/>
        <w:topLinePunct w:val="0"/>
        <w:bidi w:val="0"/>
        <w:spacing w:line="560" w:lineRule="exact"/>
        <w:ind w:right="156"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24、严格遵守并执行甲方的质量标准和考核办法，服从甲方对环境卫生质量的检查监督，切实采取有效措施保证清扫保洁质量符合甲方考核标准。</w:t>
      </w:r>
    </w:p>
    <w:p w14:paraId="55C11514">
      <w:pPr>
        <w:keepNext w:val="0"/>
        <w:keepLines w:val="0"/>
        <w:pageBreakBefore w:val="0"/>
        <w:widowControl w:val="0"/>
        <w:kinsoku/>
        <w:wordWrap/>
        <w:overflowPunct/>
        <w:topLinePunct w:val="0"/>
        <w:bidi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25、按期完成本协议规定的工作内容和各项临时任务。有义务配合甲方遇重大接待、卫生检查、及应急预案的紧急启动时车辆、人员的集中调配。</w:t>
      </w:r>
    </w:p>
    <w:p w14:paraId="6B528B7C">
      <w:pPr>
        <w:keepNext w:val="0"/>
        <w:keepLines w:val="0"/>
        <w:pageBreakBefore w:val="0"/>
        <w:widowControl w:val="0"/>
        <w:kinsoku/>
        <w:wordWrap/>
        <w:overflowPunct/>
        <w:topLinePunct w:val="0"/>
        <w:bidi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26、备有物资仓库，生产物资需满足日常作业需求和突发事件应急需求储备;物资仓库需满足相关规定和标准，杜绝安全隐患。</w:t>
      </w:r>
    </w:p>
    <w:p w14:paraId="58BE117A">
      <w:pPr>
        <w:keepNext w:val="0"/>
        <w:keepLines w:val="0"/>
        <w:pageBreakBefore w:val="0"/>
        <w:widowControl w:val="0"/>
        <w:kinsoku/>
        <w:wordWrap/>
        <w:overflowPunct/>
        <w:topLinePunct w:val="0"/>
        <w:bidi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27、乙方保洁工器具须按规定存入保洁工具箱，严禁将工器具乱堆乱放。</w:t>
      </w:r>
    </w:p>
    <w:p w14:paraId="0EB151DC">
      <w:pPr>
        <w:keepNext w:val="0"/>
        <w:keepLines w:val="0"/>
        <w:pageBreakBefore w:val="0"/>
        <w:widowControl w:val="0"/>
        <w:kinsoku/>
        <w:wordWrap/>
        <w:overflowPunct/>
        <w:topLinePunct w:val="0"/>
        <w:bidi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28、乙方不得在道路、绿化带内私自摆放垃圾桶、设置临时垃圾点，垃圾随产随清。</w:t>
      </w:r>
    </w:p>
    <w:p w14:paraId="439E24E9">
      <w:pPr>
        <w:keepNext w:val="0"/>
        <w:keepLines w:val="0"/>
        <w:pageBreakBefore w:val="0"/>
        <w:widowControl w:val="0"/>
        <w:kinsoku/>
        <w:wordWrap/>
        <w:overflowPunct/>
        <w:topLinePunct w:val="0"/>
        <w:bidi w:val="0"/>
        <w:spacing w:line="560" w:lineRule="exact"/>
        <w:ind w:right="136"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29、本项目拟派项目负责人不得随意更换，乙方如需更换需经甲方同意。如甲方在协议履行过程中对项目负责人不满意，通知乙方更换后，乙方需在5日内更换。</w:t>
      </w:r>
    </w:p>
    <w:p w14:paraId="24FADD22">
      <w:pPr>
        <w:keepNext w:val="0"/>
        <w:keepLines w:val="0"/>
        <w:pageBreakBefore w:val="0"/>
        <w:widowControl w:val="0"/>
        <w:kinsoku/>
        <w:wordWrap/>
        <w:overflowPunct/>
        <w:topLinePunct w:val="0"/>
        <w:bidi w:val="0"/>
        <w:spacing w:line="560" w:lineRule="exact"/>
        <w:ind w:right="156"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30、乙方配备的环卫车辆及设备以保障承包单位项目实施方案的机械化程度及清扫保洁效果。</w:t>
      </w:r>
    </w:p>
    <w:p w14:paraId="470216B3">
      <w:pPr>
        <w:keepNext w:val="0"/>
        <w:keepLines w:val="0"/>
        <w:pageBreakBefore w:val="0"/>
        <w:widowControl w:val="0"/>
        <w:kinsoku/>
        <w:wordWrap/>
        <w:overflowPunct/>
        <w:topLinePunct w:val="0"/>
        <w:bidi w:val="0"/>
        <w:spacing w:line="560" w:lineRule="exact"/>
        <w:ind w:right="154"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31、积极响应、贯彻落实高新区环境卫生工作的相关要求。</w:t>
      </w:r>
    </w:p>
    <w:p w14:paraId="362DB775">
      <w:pPr>
        <w:keepNext w:val="0"/>
        <w:keepLines w:val="0"/>
        <w:pageBreakBefore w:val="0"/>
        <w:widowControl w:val="0"/>
        <w:kinsoku/>
        <w:wordWrap/>
        <w:overflowPunct/>
        <w:topLinePunct w:val="0"/>
        <w:bidi w:val="0"/>
        <w:spacing w:line="560" w:lineRule="exact"/>
        <w:ind w:right="55"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32、清理垃圾、野广告、城乡结合部生活垃圾相关费用包含在保洁单平米报价费用内，不做单独支付，乙方在日常巡检中发现上述问题须自行及时处理。</w:t>
      </w:r>
    </w:p>
    <w:p w14:paraId="12E3C299">
      <w:pPr>
        <w:keepNext w:val="0"/>
        <w:keepLines w:val="0"/>
        <w:pageBreakBefore w:val="0"/>
        <w:widowControl w:val="0"/>
        <w:kinsoku/>
        <w:wordWrap/>
        <w:overflowPunct/>
        <w:topLinePunct w:val="0"/>
        <w:bidi w:val="0"/>
        <w:spacing w:line="560" w:lineRule="exact"/>
        <w:ind w:right="55" w:firstLine="640" w:firstLineChars="200"/>
        <w:rPr>
          <w:rFonts w:hint="eastAsia" w:ascii="仿宋" w:hAnsi="仿宋" w:eastAsia="仿宋" w:cs="仿宋"/>
          <w:color w:val="FF0000"/>
          <w:sz w:val="32"/>
          <w:szCs w:val="32"/>
        </w:rPr>
      </w:pPr>
      <w:r>
        <w:rPr>
          <w:rFonts w:hint="eastAsia" w:ascii="仿宋" w:hAnsi="仿宋" w:eastAsia="仿宋" w:cs="仿宋"/>
          <w:color w:val="auto"/>
          <w:sz w:val="32"/>
          <w:szCs w:val="32"/>
        </w:rPr>
        <w:t>33、乙方须配备应急队伍，配备相应的应急车辆和应急工具，处理应急事件，应急预案启动时，甲方有权调派使用，处理非本项目整改问题的相关费用另行计算，不包含在本项目承包费用中。</w:t>
      </w:r>
    </w:p>
    <w:p w14:paraId="46AD18CF">
      <w:pPr>
        <w:keepNext w:val="0"/>
        <w:keepLines w:val="0"/>
        <w:pageBreakBefore w:val="0"/>
        <w:widowControl w:val="0"/>
        <w:kinsoku/>
        <w:wordWrap/>
        <w:overflowPunct/>
        <w:topLinePunct w:val="0"/>
        <w:bidi w:val="0"/>
        <w:spacing w:line="560" w:lineRule="exact"/>
        <w:ind w:right="156"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34、接受甲方的管理、监督、检查和考核，对甲方发出的整改通知，应及时按甲方的要求进行整改。乙方无正当理由拒绝整改时，甲方可以另行委托他人予以整改，所发生的费用由乙方承担。</w:t>
      </w:r>
    </w:p>
    <w:p w14:paraId="799DA3FF">
      <w:pPr>
        <w:keepNext w:val="0"/>
        <w:keepLines w:val="0"/>
        <w:pageBreakBefore w:val="0"/>
        <w:widowControl w:val="0"/>
        <w:kinsoku/>
        <w:wordWrap/>
        <w:overflowPunct/>
        <w:topLinePunct w:val="0"/>
        <w:bidi w:val="0"/>
        <w:spacing w:line="560" w:lineRule="exact"/>
        <w:ind w:right="156"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35、为确保精细化管理水平，乙方须配备符合交通部门规定的中小型垃圾清运车辆，按照西安市生活垃圾分类“三统一”工作要求，专用于承包服务范围生活垃圾的分类收运，服务范围区域垃圾日产日清。</w:t>
      </w:r>
    </w:p>
    <w:p w14:paraId="2FA975EF">
      <w:pPr>
        <w:keepNext w:val="0"/>
        <w:keepLines w:val="0"/>
        <w:pageBreakBefore w:val="0"/>
        <w:widowControl w:val="0"/>
        <w:kinsoku/>
        <w:wordWrap/>
        <w:overflowPunct/>
        <w:topLinePunct w:val="0"/>
        <w:bidi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36、乙方必须加强对所辖区域的保洁工作进行日常巡视检查，及时解决处理所存在的问题，并形成管理闭环。</w:t>
      </w:r>
    </w:p>
    <w:p w14:paraId="131E14E3">
      <w:pPr>
        <w:keepNext w:val="0"/>
        <w:keepLines w:val="0"/>
        <w:pageBreakBefore w:val="0"/>
        <w:widowControl w:val="0"/>
        <w:kinsoku/>
        <w:wordWrap/>
        <w:overflowPunct/>
        <w:topLinePunct w:val="0"/>
        <w:bidi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37、乙方应向甲方提供保洁员花名册和网格化管理图，遇有人员变化时应及时变更信息，并向甲方提供备案。</w:t>
      </w:r>
    </w:p>
    <w:p w14:paraId="041411C0">
      <w:pPr>
        <w:keepNext w:val="0"/>
        <w:keepLines w:val="0"/>
        <w:pageBreakBefore w:val="0"/>
        <w:widowControl w:val="0"/>
        <w:kinsoku/>
        <w:wordWrap/>
        <w:overflowPunct/>
        <w:topLinePunct w:val="0"/>
        <w:bidi w:val="0"/>
        <w:spacing w:line="560" w:lineRule="exact"/>
        <w:ind w:left="47" w:firstLine="640" w:firstLineChars="200"/>
        <w:outlineLvl w:val="1"/>
        <w:rPr>
          <w:rFonts w:hint="eastAsia" w:ascii="仿宋" w:hAnsi="仿宋" w:eastAsia="仿宋" w:cs="仿宋"/>
          <w:color w:val="auto"/>
          <w:sz w:val="32"/>
          <w:szCs w:val="32"/>
        </w:rPr>
      </w:pPr>
      <w:r>
        <w:rPr>
          <w:rFonts w:hint="eastAsia" w:ascii="黑体" w:hAnsi="黑体" w:eastAsia="黑体" w:cs="黑体"/>
          <w:color w:val="auto"/>
          <w:sz w:val="32"/>
          <w:szCs w:val="32"/>
        </w:rPr>
        <w:t>第十</w:t>
      </w:r>
      <w:r>
        <w:rPr>
          <w:rFonts w:hint="eastAsia" w:ascii="黑体" w:hAnsi="黑体" w:eastAsia="黑体" w:cs="黑体"/>
          <w:color w:val="auto"/>
          <w:sz w:val="32"/>
          <w:szCs w:val="32"/>
          <w:lang w:val="en-US" w:eastAsia="zh-CN"/>
        </w:rPr>
        <w:t>四</w:t>
      </w:r>
      <w:r>
        <w:rPr>
          <w:rFonts w:hint="eastAsia" w:ascii="黑体" w:hAnsi="黑体" w:eastAsia="黑体" w:cs="黑体"/>
          <w:color w:val="auto"/>
          <w:sz w:val="32"/>
          <w:szCs w:val="32"/>
        </w:rPr>
        <w:t>条、甲乙双方的违约责任</w:t>
      </w:r>
    </w:p>
    <w:p w14:paraId="10F99898">
      <w:pPr>
        <w:keepNext w:val="0"/>
        <w:keepLines w:val="0"/>
        <w:pageBreakBefore w:val="0"/>
        <w:widowControl w:val="0"/>
        <w:kinsoku/>
        <w:wordWrap/>
        <w:overflowPunct/>
        <w:topLinePunct w:val="0"/>
        <w:bidi w:val="0"/>
        <w:spacing w:line="560" w:lineRule="exact"/>
        <w:ind w:right="159"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1、若一方不能履行协议义务，出现重大违约，则另一方可以书面通知方式单方面终止本协议，并可要求赔偿损失。</w:t>
      </w:r>
    </w:p>
    <w:p w14:paraId="525FA847">
      <w:pPr>
        <w:keepNext w:val="0"/>
        <w:keepLines w:val="0"/>
        <w:pageBreakBefore w:val="0"/>
        <w:widowControl w:val="0"/>
        <w:kinsoku/>
        <w:wordWrap/>
        <w:overflowPunct/>
        <w:topLinePunct w:val="0"/>
        <w:bidi w:val="0"/>
        <w:spacing w:line="560" w:lineRule="exact"/>
        <w:ind w:right="139"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2、除上述规定之情形外，提供服务过程中如果没有对方的书面同意，一方不能提前解除协议。如果未经对方同意解除协议，其应当支付3万元的违约金。</w:t>
      </w:r>
    </w:p>
    <w:p w14:paraId="3AC79A50">
      <w:pPr>
        <w:keepNext w:val="0"/>
        <w:keepLines w:val="0"/>
        <w:pageBreakBefore w:val="0"/>
        <w:widowControl w:val="0"/>
        <w:kinsoku/>
        <w:wordWrap/>
        <w:overflowPunct/>
        <w:topLinePunct w:val="0"/>
        <w:bidi w:val="0"/>
        <w:spacing w:line="560" w:lineRule="exact"/>
        <w:ind w:right="159"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3、如因乙方没有履行本协议相关义务以及条款对甲方造成损失的由乙方负全部责任。</w:t>
      </w:r>
    </w:p>
    <w:p w14:paraId="1677C5D5">
      <w:pPr>
        <w:keepNext w:val="0"/>
        <w:keepLines w:val="0"/>
        <w:pageBreakBefore w:val="0"/>
        <w:widowControl w:val="0"/>
        <w:kinsoku/>
        <w:wordWrap/>
        <w:overflowPunct/>
        <w:topLinePunct w:val="0"/>
        <w:bidi w:val="0"/>
        <w:spacing w:line="560" w:lineRule="exact"/>
        <w:ind w:right="156"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4、协议一方违约的，对方应积极采取适当措施阻止损失扩大，否则不得就扩大部分的损失要求赔偿；违约方应当承担守约方为阻止损失扩大而支付的合理费用。</w:t>
      </w:r>
    </w:p>
    <w:p w14:paraId="0BED3CE5">
      <w:pPr>
        <w:keepNext w:val="0"/>
        <w:keepLines w:val="0"/>
        <w:pageBreakBefore w:val="0"/>
        <w:widowControl w:val="0"/>
        <w:kinsoku/>
        <w:wordWrap/>
        <w:overflowPunct/>
        <w:topLinePunct w:val="0"/>
        <w:bidi w:val="0"/>
        <w:spacing w:line="560" w:lineRule="exact"/>
        <w:ind w:right="156"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5、甲方未按期、按约支付乙方协议款项，甲方需按照协议未支付协议款项日千分之一向乙方支付逾期利息，并赔偿一方因此造成的全部损失。</w:t>
      </w:r>
    </w:p>
    <w:p w14:paraId="2745DFBB">
      <w:pPr>
        <w:keepNext w:val="0"/>
        <w:keepLines w:val="0"/>
        <w:pageBreakBefore w:val="0"/>
        <w:widowControl w:val="0"/>
        <w:kinsoku/>
        <w:wordWrap/>
        <w:overflowPunct/>
        <w:topLinePunct w:val="0"/>
        <w:bidi w:val="0"/>
        <w:spacing w:line="560" w:lineRule="exact"/>
        <w:ind w:left="47" w:firstLine="640" w:firstLineChars="200"/>
        <w:outlineLvl w:val="1"/>
        <w:rPr>
          <w:rFonts w:hint="eastAsia" w:ascii="黑体" w:hAnsi="黑体" w:eastAsia="黑体" w:cs="黑体"/>
          <w:color w:val="auto"/>
          <w:sz w:val="32"/>
          <w:szCs w:val="32"/>
        </w:rPr>
      </w:pPr>
      <w:r>
        <w:rPr>
          <w:rFonts w:hint="eastAsia" w:ascii="黑体" w:hAnsi="黑体" w:eastAsia="黑体" w:cs="黑体"/>
          <w:color w:val="auto"/>
          <w:sz w:val="32"/>
          <w:szCs w:val="32"/>
        </w:rPr>
        <w:t>第十</w:t>
      </w:r>
      <w:r>
        <w:rPr>
          <w:rFonts w:hint="eastAsia" w:ascii="黑体" w:hAnsi="黑体" w:eastAsia="黑体" w:cs="黑体"/>
          <w:color w:val="auto"/>
          <w:sz w:val="32"/>
          <w:szCs w:val="32"/>
          <w:lang w:val="en-US" w:eastAsia="zh-CN"/>
        </w:rPr>
        <w:t>五</w:t>
      </w:r>
      <w:r>
        <w:rPr>
          <w:rFonts w:hint="eastAsia" w:ascii="黑体" w:hAnsi="黑体" w:eastAsia="黑体" w:cs="黑体"/>
          <w:color w:val="auto"/>
          <w:sz w:val="32"/>
          <w:szCs w:val="32"/>
        </w:rPr>
        <w:t>条、协议变更与终止</w:t>
      </w:r>
    </w:p>
    <w:p w14:paraId="3EA4C7CD">
      <w:pPr>
        <w:keepNext w:val="0"/>
        <w:keepLines w:val="0"/>
        <w:pageBreakBefore w:val="0"/>
        <w:widowControl w:val="0"/>
        <w:kinsoku/>
        <w:wordWrap/>
        <w:overflowPunct/>
        <w:topLinePunct w:val="0"/>
        <w:bidi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1、协议期间任何一方不得随意终止协议。</w:t>
      </w:r>
    </w:p>
    <w:p w14:paraId="5291C628">
      <w:pPr>
        <w:keepNext w:val="0"/>
        <w:keepLines w:val="0"/>
        <w:pageBreakBefore w:val="0"/>
        <w:widowControl w:val="0"/>
        <w:kinsoku/>
        <w:wordWrap/>
        <w:overflowPunct/>
        <w:topLinePunct w:val="0"/>
        <w:bidi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2、本协议规定的履行期限届满，协议自动终止。</w:t>
      </w:r>
    </w:p>
    <w:p w14:paraId="3D6BDFB2">
      <w:pPr>
        <w:keepNext w:val="0"/>
        <w:keepLines w:val="0"/>
        <w:pageBreakBefore w:val="0"/>
        <w:widowControl w:val="0"/>
        <w:kinsoku/>
        <w:wordWrap/>
        <w:overflowPunct/>
        <w:topLinePunct w:val="0"/>
        <w:bidi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3、因双方机构撤并、职能调整等原因，确需终止协议的，双方可协商终止协议。</w:t>
      </w:r>
    </w:p>
    <w:p w14:paraId="15C03F83">
      <w:pPr>
        <w:keepNext w:val="0"/>
        <w:keepLines w:val="0"/>
        <w:pageBreakBefore w:val="0"/>
        <w:widowControl w:val="0"/>
        <w:kinsoku/>
        <w:wordWrap/>
        <w:overflowPunct/>
        <w:topLinePunct w:val="0"/>
        <w:bidi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4、乙方应自觉遵守甲方工作纪律、规章制度，服从甲方管理。因乙方原因给甲方造成严重后果，甲方可以单方面解除协议。</w:t>
      </w:r>
    </w:p>
    <w:p w14:paraId="0B513812">
      <w:pPr>
        <w:keepNext w:val="0"/>
        <w:keepLines w:val="0"/>
        <w:pageBreakBefore w:val="0"/>
        <w:widowControl w:val="0"/>
        <w:kinsoku/>
        <w:wordWrap/>
        <w:overflowPunct/>
        <w:topLinePunct w:val="0"/>
        <w:bidi w:val="0"/>
        <w:spacing w:line="560" w:lineRule="exact"/>
        <w:ind w:left="47" w:firstLine="640" w:firstLineChars="200"/>
        <w:outlineLvl w:val="1"/>
        <w:rPr>
          <w:rFonts w:hint="eastAsia" w:ascii="黑体" w:hAnsi="黑体" w:eastAsia="黑体" w:cs="黑体"/>
          <w:color w:val="auto"/>
          <w:sz w:val="32"/>
          <w:szCs w:val="32"/>
        </w:rPr>
      </w:pPr>
      <w:r>
        <w:rPr>
          <w:rFonts w:hint="eastAsia" w:ascii="黑体" w:hAnsi="黑体" w:eastAsia="黑体" w:cs="黑体"/>
          <w:color w:val="auto"/>
          <w:sz w:val="32"/>
          <w:szCs w:val="32"/>
        </w:rPr>
        <w:t>第十</w:t>
      </w:r>
      <w:r>
        <w:rPr>
          <w:rFonts w:hint="eastAsia" w:ascii="黑体" w:hAnsi="黑体" w:eastAsia="黑体" w:cs="黑体"/>
          <w:color w:val="auto"/>
          <w:sz w:val="32"/>
          <w:szCs w:val="32"/>
          <w:lang w:val="en-US" w:eastAsia="zh-CN"/>
        </w:rPr>
        <w:t>六</w:t>
      </w:r>
      <w:r>
        <w:rPr>
          <w:rFonts w:hint="eastAsia" w:ascii="黑体" w:hAnsi="黑体" w:eastAsia="黑体" w:cs="黑体"/>
          <w:color w:val="auto"/>
          <w:sz w:val="32"/>
          <w:szCs w:val="32"/>
        </w:rPr>
        <w:t>条、保密约定</w:t>
      </w:r>
    </w:p>
    <w:p w14:paraId="45E0B5D9">
      <w:pPr>
        <w:keepNext w:val="0"/>
        <w:keepLines w:val="0"/>
        <w:pageBreakBefore w:val="0"/>
        <w:widowControl w:val="0"/>
        <w:kinsoku/>
        <w:wordWrap/>
        <w:overflowPunct/>
        <w:topLinePunct w:val="0"/>
        <w:bidi w:val="0"/>
        <w:spacing w:line="560" w:lineRule="exact"/>
        <w:ind w:left="40" w:right="156"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甲乙双方对本协议的内容，以及在本协议履行过程中获得的对方的信息，均负有保密义务。除甲乙双方另有约定外，保密义务是指在未经对方书面同意前，一方不得将保密信息用于任何与履行本协议无关的情况；或以任何形式向任何第三方泄漏。双方均有义务尽其一切努力防止任何第三方窃取秘密信息。由于任何一方违反以上保密义务给对方造成损失，违约方对受损失方负有停止侵害、消除影响、赔偿损失的责任。</w:t>
      </w:r>
    </w:p>
    <w:p w14:paraId="58AD1F38">
      <w:pPr>
        <w:keepNext w:val="0"/>
        <w:keepLines w:val="0"/>
        <w:pageBreakBefore w:val="0"/>
        <w:widowControl w:val="0"/>
        <w:kinsoku/>
        <w:wordWrap/>
        <w:overflowPunct/>
        <w:topLinePunct w:val="0"/>
        <w:bidi w:val="0"/>
        <w:spacing w:line="560" w:lineRule="exact"/>
        <w:ind w:left="47" w:firstLine="640" w:firstLineChars="200"/>
        <w:outlineLvl w:val="1"/>
        <w:rPr>
          <w:rFonts w:hint="eastAsia" w:ascii="黑体" w:hAnsi="黑体" w:eastAsia="黑体" w:cs="黑体"/>
          <w:color w:val="auto"/>
          <w:sz w:val="32"/>
          <w:szCs w:val="32"/>
        </w:rPr>
      </w:pPr>
      <w:r>
        <w:rPr>
          <w:rFonts w:hint="eastAsia" w:ascii="黑体" w:hAnsi="黑体" w:eastAsia="黑体" w:cs="黑体"/>
          <w:color w:val="auto"/>
          <w:sz w:val="32"/>
          <w:szCs w:val="32"/>
        </w:rPr>
        <w:t>第十</w:t>
      </w:r>
      <w:r>
        <w:rPr>
          <w:rFonts w:hint="eastAsia" w:ascii="黑体" w:hAnsi="黑体" w:eastAsia="黑体" w:cs="黑体"/>
          <w:color w:val="auto"/>
          <w:sz w:val="32"/>
          <w:szCs w:val="32"/>
          <w:lang w:val="en-US" w:eastAsia="zh-CN"/>
        </w:rPr>
        <w:t>七</w:t>
      </w:r>
      <w:r>
        <w:rPr>
          <w:rFonts w:hint="eastAsia" w:ascii="黑体" w:hAnsi="黑体" w:eastAsia="黑体" w:cs="黑体"/>
          <w:color w:val="auto"/>
          <w:sz w:val="32"/>
          <w:szCs w:val="32"/>
        </w:rPr>
        <w:t>条、</w:t>
      </w: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黑体" w:hAnsi="黑体" w:eastAsia="黑体" w:cs="黑体"/>
          <w:sz w:val="32"/>
          <w:szCs w:val="32"/>
        </w:rPr>
        <w:fldChar w:fldCharType="separate"/>
      </w:r>
      <w:r>
        <w:rPr>
          <w:rFonts w:hint="eastAsia" w:ascii="黑体" w:hAnsi="黑体" w:eastAsia="黑体" w:cs="黑体"/>
          <w:color w:val="auto"/>
          <w:sz w:val="32"/>
          <w:szCs w:val="32"/>
        </w:rPr>
        <w:t>不可抗力</w:t>
      </w:r>
      <w:r>
        <w:rPr>
          <w:rFonts w:hint="eastAsia" w:ascii="黑体" w:hAnsi="黑体" w:eastAsia="黑体" w:cs="黑体"/>
          <w:color w:val="auto"/>
          <w:sz w:val="32"/>
          <w:szCs w:val="32"/>
        </w:rPr>
        <w:fldChar w:fldCharType="end"/>
      </w:r>
    </w:p>
    <w:p w14:paraId="2DD1EB94">
      <w:pPr>
        <w:keepNext w:val="0"/>
        <w:keepLines w:val="0"/>
        <w:pageBreakBefore w:val="0"/>
        <w:widowControl w:val="0"/>
        <w:kinsoku/>
        <w:wordWrap/>
        <w:overflowPunct/>
        <w:topLinePunct w:val="0"/>
        <w:bidi w:val="0"/>
        <w:spacing w:line="560" w:lineRule="exact"/>
        <w:ind w:left="34" w:right="156"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甲乙双方任何一方由于</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sz w:val="32"/>
          <w:szCs w:val="32"/>
        </w:rPr>
        <w:fldChar w:fldCharType="separate"/>
      </w:r>
      <w:r>
        <w:rPr>
          <w:rFonts w:hint="eastAsia" w:ascii="仿宋" w:hAnsi="仿宋" w:eastAsia="仿宋" w:cs="仿宋"/>
          <w:color w:val="auto"/>
          <w:sz w:val="32"/>
          <w:szCs w:val="32"/>
        </w:rPr>
        <w:t>不可抗力</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原因不能履行协议时，应及时向对</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sz w:val="32"/>
          <w:szCs w:val="32"/>
        </w:rPr>
        <w:fldChar w:fldCharType="separate"/>
      </w:r>
      <w:r>
        <w:rPr>
          <w:rFonts w:hint="eastAsia" w:ascii="仿宋" w:hAnsi="仿宋" w:eastAsia="仿宋" w:cs="仿宋"/>
          <w:color w:val="auto"/>
          <w:sz w:val="32"/>
          <w:szCs w:val="32"/>
        </w:rPr>
        <w:t>方通</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报不能履行或不能完全履行的理由，以减轻可能给对方造成的损失，在取得有关机构证明后，允许延期履行、部分履行或不履行协议，并根据情况可部分或全部免予承担</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sz w:val="32"/>
          <w:szCs w:val="32"/>
        </w:rPr>
        <w:fldChar w:fldCharType="separate"/>
      </w:r>
      <w:r>
        <w:rPr>
          <w:rFonts w:hint="eastAsia" w:ascii="仿宋" w:hAnsi="仿宋" w:eastAsia="仿宋" w:cs="仿宋"/>
          <w:color w:val="auto"/>
          <w:sz w:val="32"/>
          <w:szCs w:val="32"/>
        </w:rPr>
        <w:t>违约责任</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w:t>
      </w:r>
    </w:p>
    <w:p w14:paraId="694758BE">
      <w:pPr>
        <w:keepNext w:val="0"/>
        <w:keepLines w:val="0"/>
        <w:pageBreakBefore w:val="0"/>
        <w:widowControl w:val="0"/>
        <w:kinsoku/>
        <w:wordWrap/>
        <w:overflowPunct/>
        <w:topLinePunct w:val="0"/>
        <w:bidi w:val="0"/>
        <w:spacing w:line="560" w:lineRule="exact"/>
        <w:ind w:left="34" w:right="156"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第十</w:t>
      </w:r>
      <w:r>
        <w:rPr>
          <w:rFonts w:hint="eastAsia" w:ascii="黑体" w:hAnsi="黑体" w:eastAsia="黑体" w:cs="黑体"/>
          <w:color w:val="auto"/>
          <w:sz w:val="32"/>
          <w:szCs w:val="32"/>
          <w:lang w:val="en-US" w:eastAsia="zh-CN"/>
        </w:rPr>
        <w:t>八</w:t>
      </w:r>
      <w:r>
        <w:rPr>
          <w:rFonts w:hint="eastAsia" w:ascii="黑体" w:hAnsi="黑体" w:eastAsia="黑体" w:cs="黑体"/>
          <w:color w:val="auto"/>
          <w:sz w:val="32"/>
          <w:szCs w:val="32"/>
        </w:rPr>
        <w:t>条、争议解决</w:t>
      </w:r>
    </w:p>
    <w:p w14:paraId="712451E7">
      <w:pPr>
        <w:keepNext w:val="0"/>
        <w:keepLines w:val="0"/>
        <w:pageBreakBefore w:val="0"/>
        <w:widowControl w:val="0"/>
        <w:kinsoku/>
        <w:wordWrap/>
        <w:overflowPunct/>
        <w:topLinePunct w:val="0"/>
        <w:bidi w:val="0"/>
        <w:spacing w:line="560" w:lineRule="exact"/>
        <w:ind w:left="34" w:right="156"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双方本着友好合作的态度,对协议履行过程中发生的纠纷应及时协商解决，协商不成的，向甲方所在地有管辖权的人民法院诉讼解决。</w:t>
      </w:r>
    </w:p>
    <w:p w14:paraId="196705CE">
      <w:pPr>
        <w:keepNext w:val="0"/>
        <w:keepLines w:val="0"/>
        <w:pageBreakBefore w:val="0"/>
        <w:widowControl w:val="0"/>
        <w:kinsoku/>
        <w:wordWrap/>
        <w:overflowPunct/>
        <w:topLinePunct w:val="0"/>
        <w:bidi w:val="0"/>
        <w:spacing w:line="560" w:lineRule="exact"/>
        <w:ind w:left="34" w:right="156"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第十</w:t>
      </w:r>
      <w:r>
        <w:rPr>
          <w:rFonts w:hint="eastAsia" w:ascii="黑体" w:hAnsi="黑体" w:eastAsia="黑体" w:cs="黑体"/>
          <w:color w:val="auto"/>
          <w:sz w:val="32"/>
          <w:szCs w:val="32"/>
          <w:lang w:val="en-US" w:eastAsia="zh-CN"/>
        </w:rPr>
        <w:t>九</w:t>
      </w:r>
      <w:r>
        <w:rPr>
          <w:rFonts w:hint="eastAsia" w:ascii="黑体" w:hAnsi="黑体" w:eastAsia="黑体" w:cs="黑体"/>
          <w:color w:val="auto"/>
          <w:sz w:val="32"/>
          <w:szCs w:val="32"/>
        </w:rPr>
        <w:t>条、监督和管理</w:t>
      </w:r>
    </w:p>
    <w:p w14:paraId="20565F1E">
      <w:pPr>
        <w:keepNext w:val="0"/>
        <w:keepLines w:val="0"/>
        <w:pageBreakBefore w:val="0"/>
        <w:widowControl w:val="0"/>
        <w:kinsoku/>
        <w:wordWrap/>
        <w:overflowPunct/>
        <w:topLinePunct w:val="0"/>
        <w:bidi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甲乙双方均应自觉配合有关监督管理部门对</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"http://set2.mail.qq.com/cgi-bin/mail_spam?action=check_link&amp;spam=0&amp;url=http%3A%2F%2Fwww%2Ebaidu%2Ecom%2Fs%3Fwd%3D%25E5%2590%2588%25E5%2590%258C%25E5%25B1%25A5%25E8%25A1%258C%26hl_tag%3Dtextlink%26tn%3DSE_hldp01350_v6v6zkg6" </w:instrText>
      </w:r>
      <w:r>
        <w:rPr>
          <w:rFonts w:hint="eastAsia" w:ascii="仿宋" w:hAnsi="仿宋" w:eastAsia="仿宋" w:cs="仿宋"/>
          <w:sz w:val="32"/>
          <w:szCs w:val="32"/>
        </w:rPr>
        <w:fldChar w:fldCharType="separate"/>
      </w:r>
      <w:r>
        <w:rPr>
          <w:rFonts w:hint="eastAsia" w:ascii="仿宋" w:hAnsi="仿宋" w:eastAsia="仿宋" w:cs="仿宋"/>
          <w:color w:val="auto"/>
          <w:sz w:val="32"/>
          <w:szCs w:val="32"/>
        </w:rPr>
        <w:t>协议履行</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情况的监督检查，如实反映情况，提供有关资料；否则，将对有关单位、当事人按照有关规定予以处罚。</w:t>
      </w:r>
    </w:p>
    <w:p w14:paraId="2C8BCCFA">
      <w:pPr>
        <w:keepNext w:val="0"/>
        <w:keepLines w:val="0"/>
        <w:pageBreakBefore w:val="0"/>
        <w:widowControl w:val="0"/>
        <w:kinsoku/>
        <w:wordWrap/>
        <w:overflowPunct/>
        <w:topLinePunct w:val="0"/>
        <w:bidi w:val="0"/>
        <w:spacing w:line="560" w:lineRule="exact"/>
        <w:ind w:left="47" w:firstLine="640" w:firstLineChars="200"/>
        <w:outlineLvl w:val="1"/>
        <w:rPr>
          <w:rFonts w:hint="eastAsia" w:ascii="黑体" w:hAnsi="黑体" w:eastAsia="黑体" w:cs="黑体"/>
          <w:color w:val="auto"/>
          <w:sz w:val="32"/>
          <w:szCs w:val="32"/>
        </w:rPr>
      </w:pPr>
      <w:r>
        <w:rPr>
          <w:rFonts w:hint="eastAsia" w:ascii="黑体" w:hAnsi="黑体" w:eastAsia="黑体" w:cs="黑体"/>
          <w:color w:val="auto"/>
          <w:sz w:val="32"/>
          <w:szCs w:val="32"/>
        </w:rPr>
        <w:t>第</w:t>
      </w:r>
      <w:r>
        <w:rPr>
          <w:rFonts w:hint="eastAsia" w:ascii="黑体" w:hAnsi="黑体" w:eastAsia="黑体" w:cs="黑体"/>
          <w:color w:val="auto"/>
          <w:sz w:val="32"/>
          <w:szCs w:val="32"/>
          <w:lang w:val="en-US" w:eastAsia="zh-CN"/>
        </w:rPr>
        <w:t>二十</w:t>
      </w:r>
      <w:r>
        <w:rPr>
          <w:rFonts w:hint="eastAsia" w:ascii="黑体" w:hAnsi="黑体" w:eastAsia="黑体" w:cs="黑体"/>
          <w:color w:val="auto"/>
          <w:sz w:val="32"/>
          <w:szCs w:val="32"/>
        </w:rPr>
        <w:t>条、</w:t>
      </w: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黑体" w:hAnsi="黑体" w:eastAsia="黑体" w:cs="黑体"/>
          <w:sz w:val="32"/>
          <w:szCs w:val="32"/>
        </w:rPr>
        <w:fldChar w:fldCharType="separate"/>
      </w:r>
      <w:r>
        <w:rPr>
          <w:rFonts w:hint="eastAsia" w:ascii="黑体" w:hAnsi="黑体" w:eastAsia="黑体" w:cs="黑体"/>
          <w:color w:val="auto"/>
          <w:sz w:val="32"/>
          <w:szCs w:val="32"/>
        </w:rPr>
        <w:t>无效协议</w:t>
      </w:r>
      <w:r>
        <w:rPr>
          <w:rFonts w:hint="eastAsia" w:ascii="黑体" w:hAnsi="黑体" w:eastAsia="黑体" w:cs="黑体"/>
          <w:color w:val="auto"/>
          <w:sz w:val="32"/>
          <w:szCs w:val="32"/>
        </w:rPr>
        <w:fldChar w:fldCharType="end"/>
      </w:r>
    </w:p>
    <w:p w14:paraId="57B220CE">
      <w:pPr>
        <w:keepNext w:val="0"/>
        <w:keepLines w:val="0"/>
        <w:pageBreakBefore w:val="0"/>
        <w:widowControl w:val="0"/>
        <w:kinsoku/>
        <w:wordWrap/>
        <w:overflowPunct/>
        <w:topLinePunct w:val="0"/>
        <w:bidi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甲乙双方如因违反政府采购法及相关法律法规的规定，被宣告</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sz w:val="32"/>
          <w:szCs w:val="32"/>
        </w:rPr>
        <w:fldChar w:fldCharType="separate"/>
      </w:r>
      <w:r>
        <w:rPr>
          <w:rFonts w:hint="eastAsia" w:ascii="仿宋" w:hAnsi="仿宋" w:eastAsia="仿宋" w:cs="仿宋"/>
          <w:color w:val="auto"/>
          <w:sz w:val="32"/>
          <w:szCs w:val="32"/>
        </w:rPr>
        <w:t>协议无效</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的，一切责任概由过错方自行承担。</w:t>
      </w:r>
    </w:p>
    <w:p w14:paraId="67A17658">
      <w:pPr>
        <w:keepNext w:val="0"/>
        <w:keepLines w:val="0"/>
        <w:pageBreakBefore w:val="0"/>
        <w:widowControl w:val="0"/>
        <w:kinsoku/>
        <w:wordWrap/>
        <w:overflowPunct/>
        <w:topLinePunct w:val="0"/>
        <w:bidi w:val="0"/>
        <w:spacing w:line="560" w:lineRule="exact"/>
        <w:ind w:left="47" w:firstLine="640" w:firstLineChars="200"/>
        <w:outlineLvl w:val="1"/>
        <w:rPr>
          <w:rFonts w:hint="eastAsia" w:ascii="黑体" w:hAnsi="黑体" w:eastAsia="黑体" w:cs="黑体"/>
          <w:color w:val="auto"/>
          <w:sz w:val="32"/>
          <w:szCs w:val="32"/>
        </w:rPr>
      </w:pPr>
      <w:r>
        <w:rPr>
          <w:rFonts w:hint="eastAsia" w:ascii="黑体" w:hAnsi="黑体" w:eastAsia="黑体" w:cs="黑体"/>
          <w:color w:val="auto"/>
          <w:sz w:val="32"/>
          <w:szCs w:val="32"/>
        </w:rPr>
        <w:t>第二十</w:t>
      </w:r>
      <w:r>
        <w:rPr>
          <w:rFonts w:hint="eastAsia" w:ascii="黑体" w:hAnsi="黑体" w:eastAsia="黑体" w:cs="黑体"/>
          <w:color w:val="auto"/>
          <w:sz w:val="32"/>
          <w:szCs w:val="32"/>
          <w:lang w:val="en-US" w:eastAsia="zh-CN"/>
        </w:rPr>
        <w:t>一</w:t>
      </w:r>
      <w:r>
        <w:rPr>
          <w:rFonts w:hint="eastAsia" w:ascii="黑体" w:hAnsi="黑体" w:eastAsia="黑体" w:cs="黑体"/>
          <w:color w:val="auto"/>
          <w:sz w:val="32"/>
          <w:szCs w:val="32"/>
        </w:rPr>
        <w:t>条、附则</w:t>
      </w:r>
    </w:p>
    <w:p w14:paraId="3846034F">
      <w:pPr>
        <w:keepNext w:val="0"/>
        <w:keepLines w:val="0"/>
        <w:pageBreakBefore w:val="0"/>
        <w:widowControl w:val="0"/>
        <w:kinsoku/>
        <w:wordWrap/>
        <w:overflowPunct/>
        <w:topLinePunct w:val="0"/>
        <w:bidi w:val="0"/>
        <w:spacing w:line="560" w:lineRule="exact"/>
        <w:ind w:right="159"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1、本次采购项目的招标文件、投标文件、中标通知书及澄清说明文件均为本协议的组成部分，甲、乙双方必须全面遵守，如有违反，应承担违约责任。</w:t>
      </w:r>
    </w:p>
    <w:p w14:paraId="70F9B268">
      <w:pPr>
        <w:keepNext w:val="0"/>
        <w:keepLines w:val="0"/>
        <w:pageBreakBefore w:val="0"/>
        <w:widowControl w:val="0"/>
        <w:kinsoku/>
        <w:wordWrap/>
        <w:overflowPunct/>
        <w:topLinePunct w:val="0"/>
        <w:bidi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2、本协议一式陆份,甲乙双方各执两份,采购代理机构两份。</w:t>
      </w:r>
    </w:p>
    <w:p w14:paraId="363E2F47">
      <w:pPr>
        <w:keepNext w:val="0"/>
        <w:keepLines w:val="0"/>
        <w:pageBreakBefore w:val="0"/>
        <w:widowControl w:val="0"/>
        <w:kinsoku/>
        <w:wordWrap/>
        <w:overflowPunct/>
        <w:topLinePunct w:val="0"/>
        <w:bidi w:val="0"/>
        <w:spacing w:line="560" w:lineRule="exact"/>
        <w:ind w:right="159"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3、本协议自签订之日起生效。</w:t>
      </w:r>
    </w:p>
    <w:p w14:paraId="0AA87510">
      <w:pPr>
        <w:keepNext w:val="0"/>
        <w:keepLines w:val="0"/>
        <w:pageBreakBefore w:val="0"/>
        <w:widowControl w:val="0"/>
        <w:kinsoku/>
        <w:wordWrap/>
        <w:overflowPunct/>
        <w:topLinePunct w:val="0"/>
        <w:bidi w:val="0"/>
        <w:spacing w:line="560" w:lineRule="exact"/>
        <w:ind w:right="159"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4、甲方确认送达地址：西安高新区</w:t>
      </w:r>
      <w:r>
        <w:rPr>
          <w:rFonts w:hint="eastAsia" w:ascii="仿宋" w:hAnsi="仿宋" w:eastAsia="仿宋" w:cs="仿宋"/>
          <w:color w:val="auto"/>
          <w:sz w:val="32"/>
          <w:szCs w:val="32"/>
          <w:lang w:val="en-US" w:eastAsia="zh-CN"/>
        </w:rPr>
        <w:t>五星</w:t>
      </w:r>
      <w:r>
        <w:rPr>
          <w:rFonts w:hint="eastAsia" w:ascii="仿宋" w:hAnsi="仿宋" w:eastAsia="仿宋" w:cs="仿宋"/>
          <w:color w:val="auto"/>
          <w:sz w:val="32"/>
          <w:szCs w:val="32"/>
        </w:rPr>
        <w:t>街道</w:t>
      </w:r>
      <w:r>
        <w:rPr>
          <w:rFonts w:hint="eastAsia" w:ascii="仿宋" w:hAnsi="仿宋" w:eastAsia="仿宋" w:cs="仿宋"/>
          <w:color w:val="auto"/>
          <w:sz w:val="32"/>
          <w:szCs w:val="32"/>
          <w:lang w:val="en-US" w:eastAsia="zh-CN"/>
        </w:rPr>
        <w:t>进五路</w:t>
      </w:r>
      <w:r>
        <w:rPr>
          <w:rFonts w:hint="eastAsia" w:ascii="仿宋" w:hAnsi="仿宋" w:eastAsia="仿宋" w:cs="仿宋"/>
          <w:color w:val="auto"/>
          <w:sz w:val="32"/>
          <w:szCs w:val="32"/>
        </w:rPr>
        <w:t>甲字一号；</w:t>
      </w:r>
    </w:p>
    <w:p w14:paraId="7B9F981D">
      <w:pPr>
        <w:keepNext w:val="0"/>
        <w:keepLines w:val="0"/>
        <w:pageBreakBefore w:val="0"/>
        <w:widowControl w:val="0"/>
        <w:kinsoku/>
        <w:wordWrap/>
        <w:overflowPunct/>
        <w:topLinePunct w:val="0"/>
        <w:bidi w:val="0"/>
        <w:spacing w:line="560" w:lineRule="exact"/>
        <w:ind w:right="159"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联系人：</w:t>
      </w:r>
      <w:r>
        <w:rPr>
          <w:rFonts w:hint="eastAsia" w:ascii="仿宋" w:hAnsi="仿宋" w:eastAsia="仿宋" w:cs="仿宋"/>
          <w:color w:val="auto"/>
          <w:sz w:val="32"/>
          <w:szCs w:val="32"/>
          <w:u w:val="single"/>
          <w:lang w:val="en-US" w:eastAsia="zh-CN"/>
        </w:rPr>
        <w:t xml:space="preserve">      </w:t>
      </w:r>
      <w:r>
        <w:rPr>
          <w:rFonts w:hint="eastAsia" w:ascii="仿宋" w:hAnsi="仿宋" w:eastAsia="仿宋" w:cs="仿宋"/>
          <w:color w:val="auto"/>
          <w:sz w:val="32"/>
          <w:szCs w:val="32"/>
        </w:rPr>
        <w:t>；   联系电话：</w:t>
      </w:r>
      <w:r>
        <w:rPr>
          <w:rFonts w:hint="eastAsia" w:ascii="仿宋" w:hAnsi="仿宋" w:eastAsia="仿宋" w:cs="仿宋"/>
          <w:color w:val="auto"/>
          <w:sz w:val="32"/>
          <w:szCs w:val="32"/>
          <w:u w:val="single"/>
          <w:lang w:val="en-US" w:eastAsia="zh-CN"/>
        </w:rPr>
        <w:t xml:space="preserve">          </w:t>
      </w:r>
      <w:r>
        <w:rPr>
          <w:rFonts w:hint="eastAsia" w:ascii="仿宋" w:hAnsi="仿宋" w:eastAsia="仿宋" w:cs="仿宋"/>
          <w:color w:val="auto"/>
          <w:sz w:val="32"/>
          <w:szCs w:val="32"/>
        </w:rPr>
        <w:t>；</w:t>
      </w:r>
    </w:p>
    <w:p w14:paraId="2CD7B61D">
      <w:pPr>
        <w:keepNext w:val="0"/>
        <w:keepLines w:val="0"/>
        <w:pageBreakBefore w:val="0"/>
        <w:widowControl w:val="0"/>
        <w:kinsoku/>
        <w:wordWrap/>
        <w:overflowPunct/>
        <w:topLinePunct w:val="0"/>
        <w:bidi w:val="0"/>
        <w:spacing w:line="560" w:lineRule="exact"/>
        <w:ind w:right="159"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乙方确认的送达地址：</w:t>
      </w:r>
    </w:p>
    <w:p w14:paraId="4C495438">
      <w:pPr>
        <w:keepNext w:val="0"/>
        <w:keepLines w:val="0"/>
        <w:pageBreakBefore w:val="0"/>
        <w:widowControl w:val="0"/>
        <w:kinsoku/>
        <w:wordWrap/>
        <w:overflowPunct/>
        <w:topLinePunct w:val="0"/>
        <w:bidi w:val="0"/>
        <w:spacing w:line="560" w:lineRule="exact"/>
        <w:ind w:right="159"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联系人：</w:t>
      </w:r>
      <w:r>
        <w:rPr>
          <w:rFonts w:hint="eastAsia" w:ascii="仿宋" w:hAnsi="仿宋" w:eastAsia="仿宋" w:cs="仿宋"/>
          <w:color w:val="auto"/>
          <w:sz w:val="32"/>
          <w:szCs w:val="32"/>
          <w:u w:val="single"/>
          <w:lang w:val="en-US" w:eastAsia="zh-CN"/>
        </w:rPr>
        <w:t xml:space="preserve">      </w:t>
      </w:r>
      <w:r>
        <w:rPr>
          <w:rFonts w:hint="eastAsia" w:ascii="仿宋" w:hAnsi="仿宋" w:eastAsia="仿宋" w:cs="仿宋"/>
          <w:color w:val="auto"/>
          <w:sz w:val="32"/>
          <w:szCs w:val="32"/>
        </w:rPr>
        <w:t>；   联系电话：</w:t>
      </w:r>
      <w:r>
        <w:rPr>
          <w:rFonts w:hint="eastAsia" w:ascii="仿宋" w:hAnsi="仿宋" w:eastAsia="仿宋" w:cs="仿宋"/>
          <w:color w:val="auto"/>
          <w:sz w:val="32"/>
          <w:szCs w:val="32"/>
          <w:u w:val="single"/>
          <w:lang w:val="en-US" w:eastAsia="zh-CN"/>
        </w:rPr>
        <w:t xml:space="preserve">           </w:t>
      </w:r>
      <w:r>
        <w:rPr>
          <w:rFonts w:hint="eastAsia" w:ascii="仿宋" w:hAnsi="仿宋" w:eastAsia="仿宋" w:cs="仿宋"/>
          <w:color w:val="auto"/>
          <w:sz w:val="32"/>
          <w:szCs w:val="32"/>
        </w:rPr>
        <w:t>；</w:t>
      </w:r>
    </w:p>
    <w:p w14:paraId="71D76370">
      <w:pPr>
        <w:keepNext w:val="0"/>
        <w:keepLines w:val="0"/>
        <w:pageBreakBefore w:val="0"/>
        <w:widowControl w:val="0"/>
        <w:kinsoku/>
        <w:wordWrap/>
        <w:overflowPunct/>
        <w:topLinePunct w:val="0"/>
        <w:bidi w:val="0"/>
        <w:spacing w:line="560" w:lineRule="exact"/>
        <w:ind w:right="159"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本协议项下任何一方向对方发出的通知、信件、数据点位等应当以书面形式发送至协议上述双方确定的送达地址，一方变更送达地址后，应当在变更后的三日内书面通知对方，对方实际收到变更通知前的送达仍为有效送达。</w:t>
      </w:r>
    </w:p>
    <w:p w14:paraId="04F21656">
      <w:pPr>
        <w:widowControl w:val="0"/>
        <w:kinsoku/>
        <w:spacing w:line="360" w:lineRule="auto"/>
        <w:rPr>
          <w:rFonts w:hint="eastAsia" w:ascii="仿宋" w:hAnsi="仿宋" w:eastAsia="仿宋" w:cs="仿宋"/>
          <w:color w:val="auto"/>
          <w:sz w:val="32"/>
          <w:szCs w:val="32"/>
        </w:rPr>
      </w:pPr>
    </w:p>
    <w:p w14:paraId="37A69A80">
      <w:pPr>
        <w:widowControl w:val="0"/>
        <w:kinsoku/>
        <w:spacing w:line="360" w:lineRule="auto"/>
        <w:rPr>
          <w:rFonts w:hint="eastAsia" w:ascii="仿宋" w:hAnsi="仿宋" w:eastAsia="仿宋" w:cs="仿宋"/>
          <w:color w:val="auto"/>
          <w:sz w:val="32"/>
          <w:szCs w:val="32"/>
        </w:rPr>
      </w:pPr>
      <w:r>
        <w:rPr>
          <w:rFonts w:hint="eastAsia" w:ascii="仿宋" w:hAnsi="仿宋" w:eastAsia="仿宋" w:cs="仿宋"/>
          <w:color w:val="auto"/>
          <w:sz w:val="32"/>
          <w:szCs w:val="32"/>
        </w:rPr>
        <w:t>采购人(甲方)：</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pacing w:val="-1"/>
          <w:sz w:val="32"/>
          <w:szCs w:val="32"/>
        </w:rPr>
        <w:t xml:space="preserve"> </w:t>
      </w:r>
      <w:r>
        <w:rPr>
          <w:rFonts w:hint="eastAsia" w:ascii="仿宋" w:hAnsi="仿宋" w:eastAsia="仿宋" w:cs="仿宋"/>
          <w:color w:val="auto"/>
          <w:spacing w:val="-1"/>
          <w:sz w:val="32"/>
          <w:szCs w:val="32"/>
          <w:lang w:val="en-US" w:eastAsia="zh-CN"/>
        </w:rPr>
        <w:t xml:space="preserve">     </w:t>
      </w:r>
      <w:r>
        <w:rPr>
          <w:rFonts w:hint="eastAsia" w:ascii="仿宋" w:hAnsi="仿宋" w:eastAsia="仿宋" w:cs="仿宋"/>
          <w:color w:val="auto"/>
          <w:spacing w:val="-1"/>
          <w:sz w:val="32"/>
          <w:szCs w:val="32"/>
        </w:rPr>
        <w:t xml:space="preserve"> </w:t>
      </w:r>
      <w:r>
        <w:rPr>
          <w:rFonts w:hint="eastAsia" w:ascii="仿宋" w:hAnsi="仿宋" w:eastAsia="仿宋" w:cs="仿宋"/>
          <w:color w:val="auto"/>
          <w:spacing w:val="-1"/>
          <w:sz w:val="32"/>
          <w:szCs w:val="32"/>
          <w:lang w:val="en-US" w:eastAsia="zh-CN"/>
        </w:rPr>
        <w:t xml:space="preserve">  </w:t>
      </w:r>
      <w:r>
        <w:rPr>
          <w:rFonts w:hint="eastAsia" w:ascii="仿宋" w:hAnsi="仿宋" w:eastAsia="仿宋" w:cs="仿宋"/>
          <w:color w:val="auto"/>
          <w:sz w:val="32"/>
          <w:szCs w:val="32"/>
        </w:rPr>
        <w:t>供应商(乙方)：</w:t>
      </w:r>
    </w:p>
    <w:p w14:paraId="29E4D4DA">
      <w:pPr>
        <w:widowControl w:val="0"/>
        <w:kinsoku/>
        <w:spacing w:line="360" w:lineRule="auto"/>
        <w:rPr>
          <w:rFonts w:hint="eastAsia" w:ascii="仿宋" w:hAnsi="仿宋" w:eastAsia="仿宋" w:cs="仿宋"/>
          <w:color w:val="FF0000"/>
          <w:sz w:val="32"/>
          <w:szCs w:val="32"/>
        </w:rPr>
      </w:pPr>
      <w:r>
        <w:rPr>
          <w:rFonts w:hint="eastAsia" w:ascii="仿宋" w:hAnsi="仿宋" w:eastAsia="仿宋" w:cs="仿宋"/>
          <w:color w:val="auto"/>
          <w:spacing w:val="-1"/>
          <w:sz w:val="32"/>
          <w:szCs w:val="32"/>
        </w:rPr>
        <w:t>街道办事处</w:t>
      </w:r>
      <w:r>
        <w:rPr>
          <w:rFonts w:hint="eastAsia" w:ascii="仿宋" w:hAnsi="仿宋" w:eastAsia="仿宋" w:cs="仿宋"/>
          <w:color w:val="auto"/>
          <w:sz w:val="32"/>
          <w:szCs w:val="32"/>
        </w:rPr>
        <w:t xml:space="preserve">(公章)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 xml:space="preserve">城市服务有限责任公司                 </w:t>
      </w:r>
    </w:p>
    <w:p w14:paraId="25322BB1">
      <w:pPr>
        <w:widowControl w:val="0"/>
        <w:kinsoku/>
        <w:spacing w:line="360" w:lineRule="auto"/>
        <w:rPr>
          <w:rFonts w:hint="eastAsia" w:ascii="仿宋" w:hAnsi="仿宋" w:eastAsia="仿宋" w:cs="仿宋"/>
          <w:color w:val="auto"/>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sz w:val="32"/>
          <w:szCs w:val="32"/>
        </w:rPr>
        <w:fldChar w:fldCharType="separate"/>
      </w:r>
      <w:r>
        <w:rPr>
          <w:rFonts w:hint="eastAsia" w:ascii="仿宋" w:hAnsi="仿宋" w:eastAsia="仿宋" w:cs="仿宋"/>
          <w:color w:val="auto"/>
          <w:sz w:val="32"/>
          <w:szCs w:val="32"/>
        </w:rPr>
        <w:t>法定代表人</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sz w:val="32"/>
          <w:szCs w:val="32"/>
        </w:rPr>
        <w:fldChar w:fldCharType="separate"/>
      </w:r>
      <w:r>
        <w:rPr>
          <w:rFonts w:hint="eastAsia" w:ascii="仿宋" w:hAnsi="仿宋" w:eastAsia="仿宋" w:cs="仿宋"/>
          <w:color w:val="auto"/>
          <w:sz w:val="32"/>
          <w:szCs w:val="32"/>
        </w:rPr>
        <w:t>法定代表人</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w:t>
      </w:r>
    </w:p>
    <w:p w14:paraId="10C2ED89">
      <w:pPr>
        <w:spacing w:before="129" w:line="222" w:lineRule="auto"/>
        <w:rPr>
          <w:rFonts w:hint="eastAsia" w:ascii="仿宋" w:hAnsi="仿宋" w:eastAsia="仿宋" w:cs="仿宋"/>
          <w:color w:val="auto"/>
          <w:sz w:val="32"/>
          <w:szCs w:val="32"/>
        </w:rPr>
      </w:pPr>
      <w:r>
        <w:rPr>
          <w:rFonts w:hint="eastAsia" w:ascii="仿宋" w:hAnsi="仿宋" w:eastAsia="仿宋" w:cs="仿宋"/>
          <w:color w:val="auto"/>
          <w:sz w:val="32"/>
          <w:szCs w:val="32"/>
        </w:rPr>
        <w:t>或委托代理人：               或委托代理人：</w:t>
      </w:r>
    </w:p>
    <w:p w14:paraId="74EEB7A6">
      <w:pPr>
        <w:widowControl w:val="0"/>
        <w:kinsoku/>
        <w:spacing w:line="360" w:lineRule="auto"/>
        <w:rPr>
          <w:rFonts w:hint="eastAsia" w:ascii="仿宋" w:hAnsi="仿宋" w:eastAsia="仿宋" w:cs="仿宋"/>
          <w:color w:val="auto"/>
          <w:sz w:val="32"/>
          <w:szCs w:val="32"/>
        </w:rPr>
      </w:pPr>
      <w:r>
        <w:rPr>
          <w:rFonts w:hint="eastAsia" w:ascii="仿宋" w:hAnsi="仿宋" w:eastAsia="仿宋" w:cs="仿宋"/>
          <w:color w:val="auto"/>
          <w:sz w:val="32"/>
          <w:szCs w:val="32"/>
        </w:rPr>
        <w:t>(签字或盖章)                 (签字或盖章)</w:t>
      </w:r>
    </w:p>
    <w:p w14:paraId="3BB5D038">
      <w:pPr>
        <w:widowControl w:val="0"/>
        <w:kinsoku/>
        <w:spacing w:line="360" w:lineRule="auto"/>
        <w:ind w:left="6510" w:hanging="9920" w:hangingChars="3100"/>
        <w:rPr>
          <w:rFonts w:hint="default" w:ascii="仿宋" w:hAnsi="仿宋" w:eastAsia="仿宋" w:cs="仿宋"/>
          <w:color w:val="auto"/>
          <w:sz w:val="32"/>
          <w:szCs w:val="32"/>
          <w:lang w:val="en-US" w:eastAsia="zh-CN"/>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sz w:val="32"/>
          <w:szCs w:val="32"/>
        </w:rPr>
        <w:fldChar w:fldCharType="separate"/>
      </w:r>
      <w:r>
        <w:rPr>
          <w:rFonts w:hint="eastAsia" w:ascii="仿宋" w:hAnsi="仿宋" w:eastAsia="仿宋" w:cs="仿宋"/>
          <w:color w:val="auto"/>
          <w:sz w:val="32"/>
          <w:szCs w:val="32"/>
        </w:rPr>
        <w:t>开户行</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sz w:val="32"/>
          <w:szCs w:val="32"/>
        </w:rPr>
        <w:fldChar w:fldCharType="separate"/>
      </w:r>
      <w:r>
        <w:rPr>
          <w:rFonts w:hint="eastAsia" w:ascii="仿宋" w:hAnsi="仿宋" w:eastAsia="仿宋" w:cs="仿宋"/>
          <w:color w:val="auto"/>
          <w:sz w:val="32"/>
          <w:szCs w:val="32"/>
        </w:rPr>
        <w:t>开户行</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w:t>
      </w:r>
    </w:p>
    <w:p w14:paraId="7FD2CE76">
      <w:pPr>
        <w:widowControl w:val="0"/>
        <w:kinsoku/>
        <w:spacing w:line="360" w:lineRule="auto"/>
        <w:ind w:left="6160" w:hanging="7040" w:hangingChars="2200"/>
        <w:rPr>
          <w:rFonts w:hint="eastAsia" w:ascii="仿宋" w:hAnsi="仿宋" w:eastAsia="仿宋" w:cs="仿宋"/>
          <w:color w:val="auto"/>
          <w:sz w:val="32"/>
          <w:szCs w:val="32"/>
        </w:rPr>
      </w:pPr>
      <w:r>
        <w:rPr>
          <w:rFonts w:hint="eastAsia" w:ascii="仿宋" w:hAnsi="仿宋" w:eastAsia="仿宋" w:cs="仿宋"/>
          <w:color w:val="auto"/>
          <w:sz w:val="32"/>
          <w:szCs w:val="32"/>
        </w:rPr>
        <w:t>帐号：</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 xml:space="preserve">    帐号：</w:t>
      </w:r>
    </w:p>
    <w:p w14:paraId="55477A6E">
      <w:pPr>
        <w:widowControl w:val="0"/>
        <w:kinsoku/>
        <w:spacing w:line="360" w:lineRule="auto"/>
        <w:ind w:left="6160" w:hanging="7040" w:hangingChars="2200"/>
        <w:rPr>
          <w:rFonts w:hint="eastAsia" w:ascii="仿宋" w:hAnsi="仿宋" w:eastAsia="仿宋" w:cs="仿宋"/>
          <w:color w:val="auto"/>
          <w:sz w:val="32"/>
          <w:szCs w:val="32"/>
        </w:rPr>
      </w:pPr>
      <w:r>
        <w:rPr>
          <w:rFonts w:hint="eastAsia" w:ascii="仿宋" w:hAnsi="仿宋" w:eastAsia="仿宋" w:cs="仿宋"/>
          <w:color w:val="auto"/>
          <w:sz w:val="32"/>
          <w:szCs w:val="32"/>
        </w:rPr>
        <w:t>电话：</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 xml:space="preserve"> 电话：</w:t>
      </w:r>
    </w:p>
    <w:p w14:paraId="29D9FC17">
      <w:pPr>
        <w:widowControl w:val="0"/>
        <w:kinsoku/>
        <w:spacing w:line="360" w:lineRule="auto"/>
        <w:ind w:left="6160" w:hanging="7040" w:hangingChars="2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地址：</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地址：</w:t>
      </w:r>
    </w:p>
    <w:p w14:paraId="0050D20E">
      <w:pPr>
        <w:widowControl w:val="0"/>
        <w:kinsoku/>
        <w:spacing w:line="360" w:lineRule="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时间：   年   月   日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 xml:space="preserve"> 时间：   年   月  日</w:t>
      </w:r>
    </w:p>
    <w:sectPr>
      <w:footerReference r:id="rId9" w:type="default"/>
      <w:pgSz w:w="11910" w:h="16840"/>
      <w:pgMar w:top="1440" w:right="1417" w:bottom="1440" w:left="1417" w:header="567" w:footer="510" w:gutter="0"/>
      <w:paperSrc/>
      <w:pgNumType w:start="1"/>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E44FE47-E4E1-429A-A1AB-2C3A57B15A1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2" w:fontKey="{81B24EDB-6547-4EC1-B295-CDAEB5E8912F}"/>
  </w:font>
  <w:font w:name="楷体">
    <w:panose1 w:val="02010609060101010101"/>
    <w:charset w:val="86"/>
    <w:family w:val="auto"/>
    <w:pitch w:val="default"/>
    <w:sig w:usb0="800002BF" w:usb1="38CF7CFA" w:usb2="00000016" w:usb3="00000000" w:csb0="00040001" w:csb1="00000000"/>
    <w:embedRegular r:id="rId3" w:fontKey="{9D696DE4-BB37-4F76-9DB0-46109FC03A6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FD7A9">
    <w:pPr>
      <w:spacing w:line="231" w:lineRule="auto"/>
      <w:ind w:left="4627"/>
      <w:rPr>
        <w:rFonts w:hint="eastAsia" w:ascii="仿宋" w:hAnsi="仿宋" w:eastAsia="仿宋" w:cs="仿宋"/>
        <w:sz w:val="19"/>
        <w:szCs w:val="1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50EDA">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25D38">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95F27">
    <w:pPr>
      <w:spacing w:line="231" w:lineRule="auto"/>
      <w:ind w:left="4627"/>
      <w:rPr>
        <w:rFonts w:hint="eastAsia" w:ascii="仿宋" w:hAnsi="仿宋" w:eastAsia="仿宋" w:cs="仿宋"/>
        <w:sz w:val="19"/>
        <w:szCs w:val="19"/>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0A0F5">
    <w:pPr>
      <w:spacing w:line="199" w:lineRule="auto"/>
      <w:ind w:left="29"/>
      <w:rPr>
        <w:rFonts w:hint="eastAsia" w:ascii="仿宋" w:hAnsi="仿宋" w:eastAsia="仿宋" w:cs="仿宋"/>
        <w:sz w:val="17"/>
        <w:szCs w:val="17"/>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11220">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26027">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lMjljZTZmNTA1NTM5NTExYWYyN2E0OTA4YzBiNjQifQ=="/>
  </w:docVars>
  <w:rsids>
    <w:rsidRoot w:val="5C5F5177"/>
    <w:rsid w:val="00023836"/>
    <w:rsid w:val="000732D4"/>
    <w:rsid w:val="000951BA"/>
    <w:rsid w:val="000B1061"/>
    <w:rsid w:val="000E5B32"/>
    <w:rsid w:val="00117251"/>
    <w:rsid w:val="001B1AAC"/>
    <w:rsid w:val="001B3967"/>
    <w:rsid w:val="00212D57"/>
    <w:rsid w:val="0022190E"/>
    <w:rsid w:val="002313E5"/>
    <w:rsid w:val="002966AA"/>
    <w:rsid w:val="002D5735"/>
    <w:rsid w:val="00327A54"/>
    <w:rsid w:val="003761DD"/>
    <w:rsid w:val="003E052A"/>
    <w:rsid w:val="004800AC"/>
    <w:rsid w:val="004A069E"/>
    <w:rsid w:val="00537CB6"/>
    <w:rsid w:val="005A45BB"/>
    <w:rsid w:val="006A1D42"/>
    <w:rsid w:val="006B514F"/>
    <w:rsid w:val="00793B44"/>
    <w:rsid w:val="00816434"/>
    <w:rsid w:val="0089730D"/>
    <w:rsid w:val="008E10D5"/>
    <w:rsid w:val="00905855"/>
    <w:rsid w:val="0097627E"/>
    <w:rsid w:val="009C6AE8"/>
    <w:rsid w:val="009D4AB9"/>
    <w:rsid w:val="00A43AD4"/>
    <w:rsid w:val="00AA5E1B"/>
    <w:rsid w:val="00AF18C2"/>
    <w:rsid w:val="00BE416B"/>
    <w:rsid w:val="00D23A99"/>
    <w:rsid w:val="00DE1765"/>
    <w:rsid w:val="00E31D9B"/>
    <w:rsid w:val="00ED1285"/>
    <w:rsid w:val="00ED3999"/>
    <w:rsid w:val="00F47545"/>
    <w:rsid w:val="00F93570"/>
    <w:rsid w:val="00FB3DA4"/>
    <w:rsid w:val="00FB4B9C"/>
    <w:rsid w:val="00FD56DE"/>
    <w:rsid w:val="052F579E"/>
    <w:rsid w:val="05950618"/>
    <w:rsid w:val="06886D13"/>
    <w:rsid w:val="0D556D8D"/>
    <w:rsid w:val="0EE53D32"/>
    <w:rsid w:val="0EED4993"/>
    <w:rsid w:val="0F00055A"/>
    <w:rsid w:val="0F457923"/>
    <w:rsid w:val="0F6E34D7"/>
    <w:rsid w:val="11785D3C"/>
    <w:rsid w:val="1194176F"/>
    <w:rsid w:val="11C02214"/>
    <w:rsid w:val="125E68C9"/>
    <w:rsid w:val="1392538D"/>
    <w:rsid w:val="14314A94"/>
    <w:rsid w:val="14505FA5"/>
    <w:rsid w:val="1A98636A"/>
    <w:rsid w:val="1AB02BF9"/>
    <w:rsid w:val="1B1E70EC"/>
    <w:rsid w:val="1B580F18"/>
    <w:rsid w:val="1EC85E32"/>
    <w:rsid w:val="1ED43F32"/>
    <w:rsid w:val="21135059"/>
    <w:rsid w:val="24612C2C"/>
    <w:rsid w:val="25ED1A0C"/>
    <w:rsid w:val="26306192"/>
    <w:rsid w:val="28335E48"/>
    <w:rsid w:val="287B1E5A"/>
    <w:rsid w:val="29ED68B7"/>
    <w:rsid w:val="2A3F40D5"/>
    <w:rsid w:val="2FC260AC"/>
    <w:rsid w:val="30960D42"/>
    <w:rsid w:val="31D06C29"/>
    <w:rsid w:val="325E027D"/>
    <w:rsid w:val="34F429BD"/>
    <w:rsid w:val="35FF27EC"/>
    <w:rsid w:val="36AD65E6"/>
    <w:rsid w:val="3AA1099F"/>
    <w:rsid w:val="3ADE3894"/>
    <w:rsid w:val="3BE55D9D"/>
    <w:rsid w:val="3E18158D"/>
    <w:rsid w:val="3E377B2F"/>
    <w:rsid w:val="3E894239"/>
    <w:rsid w:val="3FB538B5"/>
    <w:rsid w:val="409F77EC"/>
    <w:rsid w:val="44692A8D"/>
    <w:rsid w:val="44E17F41"/>
    <w:rsid w:val="46A76720"/>
    <w:rsid w:val="48B819A3"/>
    <w:rsid w:val="4C8147A2"/>
    <w:rsid w:val="4CD72EA4"/>
    <w:rsid w:val="4DD214D4"/>
    <w:rsid w:val="4E141532"/>
    <w:rsid w:val="4F436DC1"/>
    <w:rsid w:val="517F39A6"/>
    <w:rsid w:val="51803913"/>
    <w:rsid w:val="52754DA9"/>
    <w:rsid w:val="53402924"/>
    <w:rsid w:val="553C0EA2"/>
    <w:rsid w:val="55EF50D3"/>
    <w:rsid w:val="57A06424"/>
    <w:rsid w:val="58C33BFD"/>
    <w:rsid w:val="597C222A"/>
    <w:rsid w:val="5A1341CD"/>
    <w:rsid w:val="5C5F5177"/>
    <w:rsid w:val="5E975B35"/>
    <w:rsid w:val="61C55B69"/>
    <w:rsid w:val="62540537"/>
    <w:rsid w:val="6B8A4F15"/>
    <w:rsid w:val="6BBE4C73"/>
    <w:rsid w:val="6D3B5601"/>
    <w:rsid w:val="6D6A7F7C"/>
    <w:rsid w:val="6EC067D6"/>
    <w:rsid w:val="6EEA37CD"/>
    <w:rsid w:val="6F6A7165"/>
    <w:rsid w:val="71306613"/>
    <w:rsid w:val="74B86532"/>
    <w:rsid w:val="74E0691B"/>
    <w:rsid w:val="757C42B5"/>
    <w:rsid w:val="76810908"/>
    <w:rsid w:val="7AB01B3C"/>
    <w:rsid w:val="7D3C1E5D"/>
    <w:rsid w:val="7E8D5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next w:val="1"/>
    <w:qFormat/>
    <w:uiPriority w:val="1"/>
  </w:style>
  <w:style w:type="paragraph" w:styleId="4">
    <w:name w:val="footer"/>
    <w:basedOn w:val="1"/>
    <w:link w:val="12"/>
    <w:qFormat/>
    <w:uiPriority w:val="99"/>
    <w:pPr>
      <w:tabs>
        <w:tab w:val="center" w:pos="4153"/>
        <w:tab w:val="right" w:pos="8306"/>
      </w:tabs>
    </w:pPr>
    <w:rPr>
      <w:sz w:val="18"/>
    </w:rPr>
  </w:style>
  <w:style w:type="paragraph" w:styleId="5">
    <w:name w:val="header"/>
    <w:basedOn w:val="1"/>
    <w:link w:val="9"/>
    <w:qFormat/>
    <w:uiPriority w:val="0"/>
    <w:pPr>
      <w:tabs>
        <w:tab w:val="center" w:pos="4153"/>
        <w:tab w:val="right" w:pos="8306"/>
      </w:tabs>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sz w:val="24"/>
      <w:szCs w:val="24"/>
    </w:rPr>
  </w:style>
  <w:style w:type="character" w:customStyle="1" w:styleId="9">
    <w:name w:val="页眉 字符"/>
    <w:link w:val="5"/>
    <w:qFormat/>
    <w:uiPriority w:val="0"/>
    <w:rPr>
      <w:rFonts w:ascii="Arial" w:hAnsi="Arial" w:eastAsia="Arial" w:cs="Arial"/>
      <w:snapToGrid/>
      <w:color w:val="000000"/>
      <w:sz w:val="18"/>
      <w:szCs w:val="18"/>
    </w:rPr>
  </w:style>
  <w:style w:type="table" w:customStyle="1" w:styleId="10">
    <w:name w:val="Table Normal"/>
    <w:unhideWhenUsed/>
    <w:qFormat/>
    <w:uiPriority w:val="0"/>
    <w:tblPr>
      <w:tblCellMar>
        <w:top w:w="0" w:type="dxa"/>
        <w:left w:w="0" w:type="dxa"/>
        <w:bottom w:w="0" w:type="dxa"/>
        <w:right w:w="0" w:type="dxa"/>
      </w:tblCellMar>
    </w:tblPr>
  </w:style>
  <w:style w:type="character" w:customStyle="1" w:styleId="11">
    <w:name w:val="font41"/>
    <w:qFormat/>
    <w:uiPriority w:val="0"/>
    <w:rPr>
      <w:rFonts w:hint="eastAsia" w:ascii="黑体" w:hAnsi="宋体" w:eastAsia="黑体" w:cs="黑体"/>
      <w:color w:val="000000"/>
      <w:sz w:val="16"/>
      <w:szCs w:val="16"/>
      <w:u w:val="none"/>
    </w:rPr>
  </w:style>
  <w:style w:type="character" w:customStyle="1" w:styleId="12">
    <w:name w:val="页脚 字符"/>
    <w:basedOn w:val="8"/>
    <w:link w:val="4"/>
    <w:qFormat/>
    <w:uiPriority w:val="99"/>
    <w:rPr>
      <w:rFonts w:ascii="Arial" w:hAnsi="Arial" w:eastAsia="Arial" w:cs="Arial"/>
      <w:snapToGrid w:val="0"/>
      <w:color w:val="000000"/>
      <w:sz w:val="18"/>
      <w:szCs w:val="21"/>
    </w:rPr>
  </w:style>
  <w:style w:type="character" w:customStyle="1" w:styleId="13">
    <w:name w:val="font61"/>
    <w:qFormat/>
    <w:uiPriority w:val="0"/>
    <w:rPr>
      <w:rFonts w:hint="default" w:ascii="仿宋_GB2312" w:eastAsia="仿宋_GB2312" w:cs="仿宋_GB2312"/>
      <w:b/>
      <w:bCs/>
      <w:color w:val="000000"/>
      <w:sz w:val="32"/>
      <w:szCs w:val="32"/>
      <w:u w:val="none"/>
    </w:rPr>
  </w:style>
  <w:style w:type="character" w:customStyle="1" w:styleId="14">
    <w:name w:val="font71"/>
    <w:qFormat/>
    <w:uiPriority w:val="0"/>
    <w:rPr>
      <w:rFonts w:hint="eastAsia" w:ascii="宋体" w:hAnsi="宋体" w:eastAsia="宋体" w:cs="宋体"/>
      <w:b/>
      <w:bCs/>
      <w:color w:val="000000"/>
      <w:sz w:val="22"/>
      <w:szCs w:val="22"/>
      <w:u w:val="none"/>
    </w:rPr>
  </w:style>
  <w:style w:type="paragraph" w:customStyle="1" w:styleId="15">
    <w:name w:val="Z丁玮4"/>
    <w:basedOn w:val="2"/>
    <w:qFormat/>
    <w:uiPriority w:val="0"/>
    <w:pPr>
      <w:spacing w:line="560" w:lineRule="exact"/>
    </w:pPr>
    <w:rPr>
      <w:rFonts w:ascii="Times New Roman" w:hAnsi="Times New Roman" w:eastAsia="仿宋_GB231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6340</Words>
  <Characters>6504</Characters>
  <Lines>384</Lines>
  <Paragraphs>451</Paragraphs>
  <TotalTime>58</TotalTime>
  <ScaleCrop>false</ScaleCrop>
  <LinksUpToDate>false</LinksUpToDate>
  <CharactersWithSpaces>6736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2025-06-16T03:12:00Z</dcterms:created>
  <dc:creator>你看起来很好吃=(^ω^)=</dc:creator>
  <cp:lastModifiedBy>逍楠</cp:lastModifiedBy>
  <cp:lastPrinted>2025-07-01T07:07:00Z</cp:lastPrinted>
  <dcterms:modified xsi:type="dcterms:W3CDTF">2025-07-01T08:13:35Z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0CF0319B811C4883BA417C14ACECE05F_13</vt:lpwstr>
  </property>
  <property fmtid="{D5CDD505-2E9C-101B-9397-08002B2CF9AE}" pid="4" name="KSOTemplateDocerSaveRecord">
    <vt:lpwstr>eyJoZGlkIjoiYjllNzM3NjNiYzZmNjBjY2U2MGM0ZDk2MTBlMjdmZDQiLCJ1c2VySWQiOiIzNDA2Mzc0MjQifQ==</vt:lpwstr>
  </property>
</Properties>
</file>