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版本号：XDZ2025-106-N-66、XACH2025-05620250609001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西安高新区2025年度建筑工地扬尘污染防治及文明施工第三方监管服务项目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XDZ2025-106-N-66、XACH2025-056</w:t>
      </w:r>
      <w:r>
        <w:br/>
      </w:r>
      <w:r>
        <w:br/>
      </w:r>
      <w:r>
        <w:br/>
      </w:r>
    </w:p>
    <w:p>
      <w:pPr>
        <w:pStyle w:val="null3"/>
        <w:jc w:val="center"/>
        <w:outlineLvl w:val="2"/>
      </w:pPr>
      <w:r>
        <w:rPr>
          <w:rFonts w:ascii="仿宋_GB2312" w:hAnsi="仿宋_GB2312" w:cs="仿宋_GB2312" w:eastAsia="仿宋_GB2312"/>
          <w:sz w:val="28"/>
          <w:b/>
        </w:rPr>
        <w:t>西安高新区建设工程质量安全监督站</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西安高新区建设工程质量安全监督站</w:t>
      </w:r>
      <w:r>
        <w:rPr>
          <w:rFonts w:ascii="仿宋_GB2312" w:hAnsi="仿宋_GB2312" w:cs="仿宋_GB2312" w:eastAsia="仿宋_GB2312"/>
        </w:rPr>
        <w:t>委托，拟对</w:t>
      </w:r>
      <w:r>
        <w:rPr>
          <w:rFonts w:ascii="仿宋_GB2312" w:hAnsi="仿宋_GB2312" w:cs="仿宋_GB2312" w:eastAsia="仿宋_GB2312"/>
        </w:rPr>
        <w:t>西安高新区2025年度建筑工地扬尘污染防治及文明施工第三方监管服务项目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XDZ2025-106-N-66、XACH2025-056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西安高新区2025年度建筑工地扬尘污染防治及文明施工第三方监管服务项目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对高新区建筑工地（两类企业）扬尘污染防治及文明施工措施落实情况进行巡查检查，提出整改意见并督促项目企业整改闭环，提交阶段性监管报告。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由成交人支付代理服务费，根据国家发展改革委发布《关于进一步放开建设项目专业服务价格的通知》（发改价格〔2015〕299号）文件，招标代理费实行市场调节价。故经双方协商确定，100万以下按1.5%收取，100万-500万按0.8%收取，不足5000元的按5000元收取。代理服务费为含税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西安高新区建设工程质量安全监督站</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对高新区建筑工地（两类企业）扬尘污染防治及文明施工措施落实情况进行巡查检查，提出整改意见并督促项目企业整改闭环，提交阶段性监管报告。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西安高新区2025年度建筑工地扬尘污染防治及文明施工第三方监管服务项目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标的名称：西安高新区2025年度建筑工地扬尘污染防治及文明施工第三方监管服务项目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西安高新区</w:t>
            </w:r>
            <w:r>
              <w:rPr>
                <w:rFonts w:ascii="仿宋_GB2312" w:hAnsi="仿宋_GB2312" w:cs="仿宋_GB2312" w:eastAsia="仿宋_GB2312"/>
                <w:sz w:val="21"/>
              </w:rPr>
              <w:t>2025</w:t>
            </w:r>
            <w:r>
              <w:rPr>
                <w:rFonts w:ascii="仿宋_GB2312" w:hAnsi="仿宋_GB2312" w:cs="仿宋_GB2312" w:eastAsia="仿宋_GB2312"/>
                <w:sz w:val="21"/>
              </w:rPr>
              <w:t>年度建筑工地扬尘污染防治及文明施工第三方监管服务项目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项目地点：高新区建筑工地。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服务期限：自合同签订之日起</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（一）对高新区建筑工地（两类企业）扬尘污染防治及文明施工措施落实情况进行监管。</w:t>
            </w:r>
          </w:p>
          <w:p>
            <w:pPr>
              <w:pStyle w:val="null3"/>
              <w:jc w:val="both"/>
            </w:pPr>
            <w:r>
              <w:rPr>
                <w:rFonts w:ascii="仿宋_GB2312" w:hAnsi="仿宋_GB2312" w:cs="仿宋_GB2312" w:eastAsia="仿宋_GB2312"/>
                <w:sz w:val="21"/>
              </w:rPr>
              <w:t>（二）按照“</w:t>
            </w:r>
            <w:r>
              <w:rPr>
                <w:rFonts w:ascii="仿宋_GB2312" w:hAnsi="仿宋_GB2312" w:cs="仿宋_GB2312" w:eastAsia="仿宋_GB2312"/>
                <w:sz w:val="21"/>
              </w:rPr>
              <w:t>321</w:t>
            </w:r>
            <w:r>
              <w:rPr>
                <w:rFonts w:ascii="仿宋_GB2312" w:hAnsi="仿宋_GB2312" w:cs="仿宋_GB2312" w:eastAsia="仿宋_GB2312"/>
                <w:sz w:val="21"/>
              </w:rPr>
              <w:t>”标准（</w:t>
            </w:r>
            <w:r>
              <w:rPr>
                <w:rFonts w:ascii="仿宋_GB2312" w:hAnsi="仿宋_GB2312" w:cs="仿宋_GB2312" w:eastAsia="仿宋_GB2312"/>
                <w:sz w:val="21"/>
              </w:rPr>
              <w:t>3</w:t>
            </w:r>
            <w:r>
              <w:rPr>
                <w:rFonts w:ascii="仿宋_GB2312" w:hAnsi="仿宋_GB2312" w:cs="仿宋_GB2312" w:eastAsia="仿宋_GB2312"/>
                <w:sz w:val="21"/>
              </w:rPr>
              <w:t>个巡查小组；每组</w:t>
            </w:r>
            <w:r>
              <w:rPr>
                <w:rFonts w:ascii="仿宋_GB2312" w:hAnsi="仿宋_GB2312" w:cs="仿宋_GB2312" w:eastAsia="仿宋_GB2312"/>
                <w:sz w:val="21"/>
              </w:rPr>
              <w:t>2</w:t>
            </w:r>
            <w:r>
              <w:rPr>
                <w:rFonts w:ascii="仿宋_GB2312" w:hAnsi="仿宋_GB2312" w:cs="仿宋_GB2312" w:eastAsia="仿宋_GB2312"/>
                <w:sz w:val="21"/>
              </w:rPr>
              <w:t>人；每组</w:t>
            </w:r>
            <w:r>
              <w:rPr>
                <w:rFonts w:ascii="仿宋_GB2312" w:hAnsi="仿宋_GB2312" w:cs="仿宋_GB2312" w:eastAsia="仿宋_GB2312"/>
                <w:sz w:val="21"/>
              </w:rPr>
              <w:t>1</w:t>
            </w:r>
            <w:r>
              <w:rPr>
                <w:rFonts w:ascii="仿宋_GB2312" w:hAnsi="仿宋_GB2312" w:cs="仿宋_GB2312" w:eastAsia="仿宋_GB2312"/>
                <w:sz w:val="21"/>
              </w:rPr>
              <w:t>辆交通工具）配置专业队伍，全天候巡查检查，每天巡查检查建筑工地（两类企业）不少于</w:t>
            </w:r>
            <w:r>
              <w:rPr>
                <w:rFonts w:ascii="仿宋_GB2312" w:hAnsi="仿宋_GB2312" w:cs="仿宋_GB2312" w:eastAsia="仿宋_GB2312"/>
                <w:sz w:val="21"/>
              </w:rPr>
              <w:t>10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（三）按照“</w:t>
            </w:r>
            <w:r>
              <w:rPr>
                <w:rFonts w:ascii="仿宋_GB2312" w:hAnsi="仿宋_GB2312" w:cs="仿宋_GB2312" w:eastAsia="仿宋_GB2312"/>
                <w:sz w:val="21"/>
              </w:rPr>
              <w:t>121</w:t>
            </w:r>
            <w:r>
              <w:rPr>
                <w:rFonts w:ascii="仿宋_GB2312" w:hAnsi="仿宋_GB2312" w:cs="仿宋_GB2312" w:eastAsia="仿宋_GB2312"/>
                <w:sz w:val="21"/>
              </w:rPr>
              <w:t>”标准（</w:t>
            </w:r>
            <w:r>
              <w:rPr>
                <w:rFonts w:ascii="仿宋_GB2312" w:hAnsi="仿宋_GB2312" w:cs="仿宋_GB2312" w:eastAsia="仿宋_GB2312"/>
                <w:sz w:val="21"/>
              </w:rPr>
              <w:t>1</w:t>
            </w:r>
            <w:r>
              <w:rPr>
                <w:rFonts w:ascii="仿宋_GB2312" w:hAnsi="仿宋_GB2312" w:cs="仿宋_GB2312" w:eastAsia="仿宋_GB2312"/>
                <w:sz w:val="21"/>
              </w:rPr>
              <w:t>个巡查小组；组员</w:t>
            </w:r>
            <w:r>
              <w:rPr>
                <w:rFonts w:ascii="仿宋_GB2312" w:hAnsi="仿宋_GB2312" w:cs="仿宋_GB2312" w:eastAsia="仿宋_GB2312"/>
                <w:sz w:val="21"/>
              </w:rPr>
              <w:t>2</w:t>
            </w:r>
            <w:r>
              <w:rPr>
                <w:rFonts w:ascii="仿宋_GB2312" w:hAnsi="仿宋_GB2312" w:cs="仿宋_GB2312" w:eastAsia="仿宋_GB2312"/>
                <w:sz w:val="21"/>
              </w:rPr>
              <w:t>人；</w:t>
            </w:r>
            <w:r>
              <w:rPr>
                <w:rFonts w:ascii="仿宋_GB2312" w:hAnsi="仿宋_GB2312" w:cs="仿宋_GB2312" w:eastAsia="仿宋_GB2312"/>
                <w:sz w:val="21"/>
              </w:rPr>
              <w:t>1</w:t>
            </w:r>
            <w:r>
              <w:rPr>
                <w:rFonts w:ascii="仿宋_GB2312" w:hAnsi="仿宋_GB2312" w:cs="仿宋_GB2312" w:eastAsia="仿宋_GB2312"/>
                <w:sz w:val="21"/>
              </w:rPr>
              <w:t>辆交通工具）配置工程类专业技术人员（高级职称），全天候巡查检查项目质量安全及文明施工情况，提出隐患问题并督促整改闭环，每天巡查工地不少于</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（四）按照建筑工地（两类企业）扬尘治理“</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100%</w:t>
            </w:r>
            <w:r>
              <w:rPr>
                <w:rFonts w:ascii="仿宋_GB2312" w:hAnsi="仿宋_GB2312" w:cs="仿宋_GB2312" w:eastAsia="仿宋_GB2312"/>
                <w:sz w:val="21"/>
              </w:rPr>
              <w:t>”、“七个到位”及“</w:t>
            </w:r>
            <w:r>
              <w:rPr>
                <w:rFonts w:ascii="仿宋_GB2312" w:hAnsi="仿宋_GB2312" w:cs="仿宋_GB2312" w:eastAsia="仿宋_GB2312"/>
                <w:sz w:val="21"/>
              </w:rPr>
              <w:t>19</w:t>
            </w:r>
            <w:r>
              <w:rPr>
                <w:rFonts w:ascii="仿宋_GB2312" w:hAnsi="仿宋_GB2312" w:cs="仿宋_GB2312" w:eastAsia="仿宋_GB2312"/>
                <w:sz w:val="21"/>
              </w:rPr>
              <w:t>项措施”的标准对建筑工地进行巡查检查；对建筑工地安全生产标准化建设落实情况进行巡查检查并督促整改闭环。</w:t>
            </w:r>
          </w:p>
          <w:p>
            <w:pPr>
              <w:pStyle w:val="null3"/>
              <w:jc w:val="both"/>
            </w:pPr>
            <w:r>
              <w:rPr>
                <w:rFonts w:ascii="仿宋_GB2312" w:hAnsi="仿宋_GB2312" w:cs="仿宋_GB2312" w:eastAsia="仿宋_GB2312"/>
                <w:sz w:val="21"/>
              </w:rPr>
              <w:t>（五）对建筑工地的视频监控、扬尘在线监测及“红、黄、绿”牌等设备设施正常运行情况及建筑工地围墙设置、视线范围环境卫生情况进行检查并督促整改。</w:t>
            </w:r>
          </w:p>
          <w:p>
            <w:pPr>
              <w:pStyle w:val="null3"/>
              <w:jc w:val="both"/>
            </w:pPr>
            <w:r>
              <w:rPr>
                <w:rFonts w:ascii="仿宋_GB2312" w:hAnsi="仿宋_GB2312" w:cs="仿宋_GB2312" w:eastAsia="仿宋_GB2312"/>
                <w:sz w:val="21"/>
              </w:rPr>
              <w:t>（六）代表区建设行政主管部门向建筑工地（两类企业）下发问题整改通知单，每天下发整改通知单不少于</w:t>
            </w:r>
            <w:r>
              <w:rPr>
                <w:rFonts w:ascii="仿宋_GB2312" w:hAnsi="仿宋_GB2312" w:cs="仿宋_GB2312" w:eastAsia="仿宋_GB2312"/>
                <w:sz w:val="21"/>
              </w:rPr>
              <w:t>10</w:t>
            </w:r>
            <w:r>
              <w:rPr>
                <w:rFonts w:ascii="仿宋_GB2312" w:hAnsi="仿宋_GB2312" w:cs="仿宋_GB2312" w:eastAsia="仿宋_GB2312"/>
                <w:sz w:val="21"/>
              </w:rPr>
              <w:t>份。</w:t>
            </w:r>
          </w:p>
          <w:p>
            <w:pPr>
              <w:pStyle w:val="null3"/>
              <w:jc w:val="both"/>
            </w:pPr>
            <w:r>
              <w:rPr>
                <w:rFonts w:ascii="仿宋_GB2312" w:hAnsi="仿宋_GB2312" w:cs="仿宋_GB2312" w:eastAsia="仿宋_GB2312"/>
                <w:sz w:val="21"/>
              </w:rPr>
              <w:t>（七）对于巡查检查发现的扬尘治理、质量安全隐患问题，及时督促施工单位落实整改；对整改落实不到位，问题反复回弹的建筑工地（两类企业），及时报告区建设行政主管部门处置。</w:t>
            </w:r>
          </w:p>
          <w:p>
            <w:pPr>
              <w:pStyle w:val="null3"/>
              <w:jc w:val="both"/>
            </w:pPr>
            <w:r>
              <w:rPr>
                <w:rFonts w:ascii="仿宋_GB2312" w:hAnsi="仿宋_GB2312" w:cs="仿宋_GB2312" w:eastAsia="仿宋_GB2312"/>
                <w:sz w:val="21"/>
              </w:rPr>
              <w:t>（八）配合区建设行政主管部门接待省、市两级扬尘污染及质量安全督查、考核等检查，并做好检查组提出问题整改落实督促工作；特别是对媒体通报、市区级检查通报、市区级领导指出问题及群众投诉问题，及时督促项目落实整改，且做好后续问题防反弹工作。</w:t>
            </w:r>
          </w:p>
          <w:p>
            <w:pPr>
              <w:pStyle w:val="null3"/>
              <w:jc w:val="both"/>
            </w:pPr>
            <w:r>
              <w:rPr>
                <w:rFonts w:ascii="仿宋_GB2312" w:hAnsi="仿宋_GB2312" w:cs="仿宋_GB2312" w:eastAsia="仿宋_GB2312"/>
                <w:sz w:val="21"/>
              </w:rPr>
              <w:t>（九）委派专人（工作组）对接区建设行政主管部门，处置建筑工地扬尘防治及文明施工事宜；日常工作受区建设行政主管部门督导检查及考核。</w:t>
            </w:r>
          </w:p>
          <w:p>
            <w:pPr>
              <w:pStyle w:val="null3"/>
              <w:jc w:val="both"/>
            </w:pPr>
            <w:r>
              <w:rPr>
                <w:rFonts w:ascii="仿宋_GB2312" w:hAnsi="仿宋_GB2312" w:cs="仿宋_GB2312" w:eastAsia="仿宋_GB2312"/>
                <w:sz w:val="21"/>
              </w:rPr>
              <w:t>（十）每周五下午</w:t>
            </w:r>
            <w:r>
              <w:rPr>
                <w:rFonts w:ascii="仿宋_GB2312" w:hAnsi="仿宋_GB2312" w:cs="仿宋_GB2312" w:eastAsia="仿宋_GB2312"/>
                <w:sz w:val="21"/>
              </w:rPr>
              <w:t>6</w:t>
            </w:r>
            <w:r>
              <w:rPr>
                <w:rFonts w:ascii="仿宋_GB2312" w:hAnsi="仿宋_GB2312" w:cs="仿宋_GB2312" w:eastAsia="仿宋_GB2312"/>
                <w:sz w:val="21"/>
              </w:rPr>
              <w:t>点前上报周巡查检查汇总表及周报，每月底报送当月扬尘污染及质量安全巡查检查总结及下月工作计划，每季度末对辖区建筑工地质量安全及扬尘治理整体形势分析报告，并提出具有建设性的监管建议。</w:t>
            </w:r>
          </w:p>
          <w:p>
            <w:pPr>
              <w:pStyle w:val="null3"/>
            </w:pPr>
            <w:r>
              <w:rPr>
                <w:rFonts w:ascii="仿宋_GB2312" w:hAnsi="仿宋_GB2312" w:cs="仿宋_GB2312" w:eastAsia="仿宋_GB2312"/>
                <w:sz w:val="21"/>
              </w:rPr>
              <w:t>（十一）完成区建设行政主管部门交办的涉及建筑工地（两类企业）扬尘治理及文明施工的其他事项。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高新区建筑工地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1、采购人对成交供应商报送的月度工作计划、上月度工作完成实施情况、项目质量安全及扬尘治理检查报告等资料核实并进行考评，达到竞争性磋商文件及国家规定的“合格”标准。 2、验收依据：合同文本、磋商文件和成交供应商的磋商响应文件、成交供应商报送的资料。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供应商每月5日前向采购人报送本月度工作计划、上月度完成实施情况、项目质量安全及扬尘治理检查报告及发票，采购人在收到报送资料后派相关工作人员核实并进行考评，按照考评结果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违约责任：(一)若一方不能履行合同义务，出现重大违约，则另一方可以书面通知方式单方面终止本合同，并可要求赔偿损失。 (二)除上述规定之情形外，提供服务过程中如果没有对方的书面同意，一方不能提前解除合同。如果未经对方同意解除合同，其应当支付合同金额5%的违约金。 (三)如因成交供应商没有履行合同相关义务以及条款对采购人造成损失的由成交供应商负全部责任。 (四)合同一方违约的，对方应积极采取适当措施阻止损失扩大，否则不得就扩大部分的损失要求赔偿；违约方应当承担守约方为阻止损失扩大而支付的合理费用。 解决争议的方法：如果双方就该合同履行产生纠纷，本着协商解决的原则，双方协商，如果达不成一致意见，任何一方均可向采购人所在地法院诉讼解决。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为完成本项目磋商文件中所提出的工作范围及要求的全部内容，并达到国家及采购人验收标准而产生的所有费用，包括但不限于人员费用(人员工资、社会劳动保险、人身意外保险、周末法定节假日费用、夏季降温费及高温补助费、冬季取暖及补助费)、服务费、管理费、设备费及劳动保障(工作服等)、招标代理服务费、利润、税金、风险等所需的全部费用。不因项目规模、政策调整和服务期限调整等因素增减。任何错报、漏报由供应商自行负责。 3.4.2供应商在各大平台有被政府或相关部门通报或者在类似活动中存在违法违规行为的，不得参与该合同项下的磋商活动。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分项报价附表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中小企业声明函 商务应答表 承诺书 报价表 业绩证明文件及响应方案说明 响应文件封面 资格证明文件 残疾人福利性单位声明函 分项报价附表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分项报价附表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 标的清单 分项报价附表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中小企业声明函 商务应答表 承诺书 报价表 业绩证明文件及响应方案说明 响应文件封面 资格证明文件 残疾人福利性单位声明函 标的清单 分项报价附表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承诺书 报价表 业绩证明文件及响应方案说明 响应文件封面 资格证明文件 残疾人福利性单位声明函 标的清单 分项报价附表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中小企业声明函 商务应答表 承诺书 报价表 业绩证明文件及响应方案说明 响应文件封面 资格证明文件 残疾人福利性单位声明函 标的清单 分项报价附表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根据项目具体情况制定详细的服务方案，本项满分12分。方案明确、细节考虑到位，计8～12（含）分；方案细节基本明确，描述良好的计4～8（含）分；方案描述符合要求，内容一般的计0～4（含）分。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规章制度</w:t>
            </w:r>
          </w:p>
        </w:tc>
        <w:tc>
          <w:tcPr>
            <w:tcW w:type="dxa" w:w="2492"/>
          </w:tcPr>
          <w:p>
            <w:pPr>
              <w:pStyle w:val="null3"/>
            </w:pPr>
            <w:r>
              <w:rPr>
                <w:rFonts w:ascii="仿宋_GB2312" w:hAnsi="仿宋_GB2312" w:cs="仿宋_GB2312" w:eastAsia="仿宋_GB2312"/>
              </w:rPr>
              <w:t>具有详细的内部管理架构、人员岗位规范制度、管理条例、激励机制、内部管理考核制度、信息反馈渠道及风险控制制度，本项满分8分。岗位规范及管理条例内容全面，详细、可行性高，计6～8（含）分；岗位规范及管理条例内容较全面，计3～6（含）分；岗位规范及管理条例内容一般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服务质量的保障措施及问题的解决方案及整改措施</w:t>
            </w:r>
          </w:p>
        </w:tc>
        <w:tc>
          <w:tcPr>
            <w:tcW w:type="dxa" w:w="2492"/>
          </w:tcPr>
          <w:p>
            <w:pPr>
              <w:pStyle w:val="null3"/>
            </w:pPr>
            <w:r>
              <w:rPr>
                <w:rFonts w:ascii="仿宋_GB2312" w:hAnsi="仿宋_GB2312" w:cs="仿宋_GB2312" w:eastAsia="仿宋_GB2312"/>
              </w:rPr>
              <w:t>确保本项目服务质量的保障措施及项目实施过程中出现问题的解决方案及整改措施等，本项满分8分。根据措施描述完整、可操作性强、细节描述详细优越的计6～8（含）分；有相对的操作性描述良好计3～6（含）分；相对比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督促辖区建筑工地落实扬尘污染防治制度的措施</w:t>
            </w:r>
          </w:p>
        </w:tc>
        <w:tc>
          <w:tcPr>
            <w:tcW w:type="dxa" w:w="2492"/>
          </w:tcPr>
          <w:p>
            <w:pPr>
              <w:pStyle w:val="null3"/>
            </w:pPr>
            <w:r>
              <w:rPr>
                <w:rFonts w:ascii="仿宋_GB2312" w:hAnsi="仿宋_GB2312" w:cs="仿宋_GB2312" w:eastAsia="仿宋_GB2312"/>
              </w:rPr>
              <w:t>针对本项目有督促辖区建筑工地落实扬尘污染防治制度的措施，本项满分5分。措施内容全面，科学可行，根据响应程度计3～5（含）分；措施内容不够全面，可行性低，根据响应程度计0～3（含）分。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安全文明措施落实督导方案</w:t>
            </w:r>
          </w:p>
        </w:tc>
        <w:tc>
          <w:tcPr>
            <w:tcW w:type="dxa" w:w="2492"/>
          </w:tcPr>
          <w:p>
            <w:pPr>
              <w:pStyle w:val="null3"/>
            </w:pPr>
            <w:r>
              <w:rPr>
                <w:rFonts w:ascii="仿宋_GB2312" w:hAnsi="仿宋_GB2312" w:cs="仿宋_GB2312" w:eastAsia="仿宋_GB2312"/>
              </w:rPr>
              <w:t>针对本项目有具体可行的安全文明措施落实督导方案（包含但不限于安全文明现场督导检查方案、日常检查计划、隐患问题处置措施、检查台账、数据报表等），本项满分8分。根据措施描述完整、可操作性强、细节描述详细优越的计6～8（含）分；有相对的操作性描述良好计3～6（含）分；相对比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对本项目配备的设施设备等</w:t>
            </w:r>
          </w:p>
        </w:tc>
        <w:tc>
          <w:tcPr>
            <w:tcW w:type="dxa" w:w="2492"/>
          </w:tcPr>
          <w:p>
            <w:pPr>
              <w:pStyle w:val="null3"/>
            </w:pPr>
            <w:r>
              <w:rPr>
                <w:rFonts w:ascii="仿宋_GB2312" w:hAnsi="仿宋_GB2312" w:cs="仿宋_GB2312" w:eastAsia="仿宋_GB2312"/>
              </w:rPr>
              <w:t>针对本项目配备的设施设备、个人装备、物品、巡查车辆的完整性等进行赋分，本项满分5分。设施设备先进、配备齐全计3～5（含）分；设施设备落后、缺失计0～3（含）分。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提供档案资料存储及保密措施</w:t>
            </w:r>
          </w:p>
        </w:tc>
        <w:tc>
          <w:tcPr>
            <w:tcW w:type="dxa" w:w="2492"/>
          </w:tcPr>
          <w:p>
            <w:pPr>
              <w:pStyle w:val="null3"/>
            </w:pPr>
            <w:r>
              <w:rPr>
                <w:rFonts w:ascii="仿宋_GB2312" w:hAnsi="仿宋_GB2312" w:cs="仿宋_GB2312" w:eastAsia="仿宋_GB2312"/>
              </w:rPr>
              <w:t>提供档案资料存储及保密措施，本项满分5分。措施内容全面，科学可行，根据响应程度计3～5（含）分；措施内容不够全面，可行性低，根据响应程度计0～3（含）分。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配合、协调管理措施</w:t>
            </w:r>
          </w:p>
        </w:tc>
        <w:tc>
          <w:tcPr>
            <w:tcW w:type="dxa" w:w="2492"/>
          </w:tcPr>
          <w:p>
            <w:pPr>
              <w:pStyle w:val="null3"/>
            </w:pPr>
            <w:r>
              <w:rPr>
                <w:rFonts w:ascii="仿宋_GB2312" w:hAnsi="仿宋_GB2312" w:cs="仿宋_GB2312" w:eastAsia="仿宋_GB2312"/>
              </w:rPr>
              <w:t>确保项目实施过程中与建设行政主管部门、各工地相关责任方的配合、协调管理措施，本项满分6分。措施内容全面，科学可行，根据响应程度计3～6（含）分；措施内容不够全面，可行性低，根据响应程度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针对本项目突发情况及冲突纠纷的应对措施和预案</w:t>
            </w:r>
          </w:p>
        </w:tc>
        <w:tc>
          <w:tcPr>
            <w:tcW w:type="dxa" w:w="2492"/>
          </w:tcPr>
          <w:p>
            <w:pPr>
              <w:pStyle w:val="null3"/>
            </w:pPr>
            <w:r>
              <w:rPr>
                <w:rFonts w:ascii="仿宋_GB2312" w:hAnsi="仿宋_GB2312" w:cs="仿宋_GB2312" w:eastAsia="仿宋_GB2312"/>
              </w:rPr>
              <w:t>有针对本项目突发情况及冲突纠纷的应对措施和预案，根据内容描述完整、可操作性、细节描述情况计分，根据响应程度计0～3分。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培训、不能完全履行服务承诺时接受处罚等情况做出实质性承诺。本项满分10分。服务承诺可操作性强、细节描述详细、完整优越计7～10（含）分；有相对的操作性、承诺内容良好计3～7（含）分；服务承诺内容一般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针对本项目有详细的拟派人员。所配人员满足项目要求、健康状况良好、科学合理，经过严格培训，能够胜任采购人的各项工作，本项满分10分。人员配备及服务水平完善、详细，计7～10（含）分；人员配备及服务水平较完善、详细、计3～7（含）分；人员配备及服务水平基本完善、详细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分项报价附表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标的清单 分项报价附表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ind w:firstLine="960"/>
      </w:pPr>
      <w:r>
        <w:rPr>
          <w:rFonts w:ascii="仿宋_GB2312" w:hAnsi="仿宋_GB2312" w:cs="仿宋_GB2312" w:eastAsia="仿宋_GB2312"/>
        </w:rPr>
        <w:t>详见附件：分项报价附表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