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版本号：XDZ2025-107-N-67、XACH2025-05720250609001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西安高新区2025年度水利工程质量抽测检测服务项目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XDZ2025-107-N-67、XACH2025-057</w:t>
      </w:r>
      <w:r>
        <w:br/>
      </w:r>
      <w:r>
        <w:br/>
      </w:r>
      <w:r>
        <w:br/>
      </w:r>
    </w:p>
    <w:p>
      <w:pPr>
        <w:pStyle w:val="null3"/>
        <w:jc w:val="center"/>
        <w:outlineLvl w:val="2"/>
      </w:pPr>
      <w:r>
        <w:rPr>
          <w:rFonts w:ascii="仿宋_GB2312" w:hAnsi="仿宋_GB2312" w:cs="仿宋_GB2312" w:eastAsia="仿宋_GB2312"/>
          <w:sz w:val="28"/>
          <w:b/>
        </w:rPr>
        <w:t>西安高新区建设工程质量安全监督站</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西安高新区建设工程质量安全监督站</w:t>
      </w:r>
      <w:r>
        <w:rPr>
          <w:rFonts w:ascii="仿宋_GB2312" w:hAnsi="仿宋_GB2312" w:cs="仿宋_GB2312" w:eastAsia="仿宋_GB2312"/>
        </w:rPr>
        <w:t>委托，拟对</w:t>
      </w:r>
      <w:r>
        <w:rPr>
          <w:rFonts w:ascii="仿宋_GB2312" w:hAnsi="仿宋_GB2312" w:cs="仿宋_GB2312" w:eastAsia="仿宋_GB2312"/>
        </w:rPr>
        <w:t>西安高新区2025年度水利工程质量抽测检测服务项目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XDZ2025-107-N-67、XACH2025-057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西安高新区2025年度水利工程质量抽测检测服务项目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供应商根据采购方委托，对高新区2025年度水利工程质量进行抽测检测，并出具具有法律效力的检测报告。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法定代表人参加磋商只需提供法定代表人身份证）；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资质证书：供应商应具有水利行政主管部门颁发的合格有效的水利工程质量检测机构甲级资质证书（检测范围应包含岩土工程类、混凝土工程类）；供应商需在项目电子化交易系统中按要求上传相应证明文件并进行电子签章。</w:t>
      </w:r>
    </w:p>
    <w:p>
      <w:pPr>
        <w:pStyle w:val="null3"/>
      </w:pPr>
      <w:r>
        <w:rPr>
          <w:rFonts w:ascii="仿宋_GB2312" w:hAnsi="仿宋_GB2312" w:cs="仿宋_GB2312" w:eastAsia="仿宋_GB2312"/>
        </w:rPr>
        <w:t>5、CMA计量认证证书：供应商应具有省级及以上质量技术监督部门颁发的有效期内的CMA计量认证证书；供应商需在项目电子化交易系统中按要求上传相应证明文件并进行电子签章。</w:t>
      </w:r>
    </w:p>
    <w:p>
      <w:pPr>
        <w:pStyle w:val="null3"/>
      </w:pPr>
      <w:r>
        <w:rPr>
          <w:rFonts w:ascii="仿宋_GB2312" w:hAnsi="仿宋_GB2312" w:cs="仿宋_GB2312" w:eastAsia="仿宋_GB2312"/>
        </w:rPr>
        <w:t>6、非联合体磋商：非联合体磋商声明；供应商需在项目电子化交易系统中按要求上传相应证明文件并进行电子签章。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西安高新区建设工程质量安全监督站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西安高新区丝路创智谷六号楼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029-81150161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何小瑞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029-87563729、029-82285837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人支付代理服务费,根据国家发展改革委发布《关于进一步放开建设项目专业服务价格的通知》（发改价格〔2015〕299号）文件，招标代理费实行市场调节价。故经双方协商确定，100万以下按1.5%收取，本项目以预算金额500000.00元为基数，收取代理服务费人民币柒仟伍佰元整（¥7500.00元），代理服务费为含税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西安高新区建设工程质量安全监督站</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西安高新区建设工程质量安全监督站</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西安高新区建设工程质量安全监督站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达到竞争性磋商文件及国家规定的“合格”标准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联系人：何小瑞</w:t>
      </w:r>
    </w:p>
    <w:p>
      <w:pPr>
        <w:pStyle w:val="null3"/>
      </w:pPr>
      <w:r>
        <w:rPr>
          <w:rFonts w:ascii="仿宋_GB2312" w:hAnsi="仿宋_GB2312" w:cs="仿宋_GB2312" w:eastAsia="仿宋_GB2312"/>
        </w:rPr>
        <w:t>联系电话：029-87563729、029-82285837</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供应商根据采购方委托，对高新区2025年度水利工程质量进行抽测检测，并出具具有法律效力的检测报告。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西安高新区2025年度水利工程质量抽测检测服务项目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标的名称：西安高新区2025年度水利工程质量抽测检测服务项目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一、项目概况</w:t>
            </w:r>
          </w:p>
          <w:p>
            <w:pPr>
              <w:pStyle w:val="null3"/>
              <w:jc w:val="both"/>
            </w:pPr>
            <w:r>
              <w:rPr>
                <w:rFonts w:ascii="仿宋_GB2312" w:hAnsi="仿宋_GB2312" w:cs="仿宋_GB2312" w:eastAsia="仿宋_GB2312"/>
                <w:sz w:val="28"/>
              </w:rPr>
              <w:t>1.项目名称：西安高新区2025年度水利工程质量抽测检测服务项目</w:t>
            </w:r>
          </w:p>
          <w:p>
            <w:pPr>
              <w:pStyle w:val="null3"/>
              <w:jc w:val="both"/>
            </w:pPr>
            <w:r>
              <w:rPr>
                <w:rFonts w:ascii="仿宋_GB2312" w:hAnsi="仿宋_GB2312" w:cs="仿宋_GB2312" w:eastAsia="仿宋_GB2312"/>
                <w:sz w:val="28"/>
              </w:rPr>
              <w:t>2.项目地点：采购人指定地点</w:t>
            </w:r>
          </w:p>
          <w:p>
            <w:pPr>
              <w:pStyle w:val="null3"/>
              <w:jc w:val="both"/>
            </w:pPr>
            <w:r>
              <w:rPr>
                <w:rFonts w:ascii="仿宋_GB2312" w:hAnsi="仿宋_GB2312" w:cs="仿宋_GB2312" w:eastAsia="仿宋_GB2312"/>
                <w:sz w:val="28"/>
              </w:rPr>
              <w:t>3.服务期限：自合同签订</w:t>
            </w:r>
            <w:r>
              <w:rPr>
                <w:rFonts w:ascii="仿宋_GB2312" w:hAnsi="仿宋_GB2312" w:cs="仿宋_GB2312" w:eastAsia="仿宋_GB2312"/>
                <w:sz w:val="28"/>
              </w:rPr>
              <w:t>之日起一年</w:t>
            </w:r>
          </w:p>
          <w:p>
            <w:pPr>
              <w:pStyle w:val="null3"/>
              <w:jc w:val="both"/>
            </w:pPr>
            <w:r>
              <w:rPr>
                <w:rFonts w:ascii="仿宋_GB2312" w:hAnsi="仿宋_GB2312" w:cs="仿宋_GB2312" w:eastAsia="仿宋_GB2312"/>
                <w:sz w:val="28"/>
              </w:rPr>
              <w:t>二、服务要求</w:t>
            </w:r>
          </w:p>
          <w:p>
            <w:pPr>
              <w:pStyle w:val="null3"/>
              <w:jc w:val="both"/>
            </w:pPr>
            <w:r>
              <w:rPr>
                <w:rFonts w:ascii="仿宋_GB2312" w:hAnsi="仿宋_GB2312" w:cs="仿宋_GB2312" w:eastAsia="仿宋_GB2312"/>
                <w:sz w:val="28"/>
              </w:rPr>
              <w:t>（一）</w:t>
            </w:r>
            <w:r>
              <w:rPr>
                <w:rFonts w:ascii="仿宋_GB2312" w:hAnsi="仿宋_GB2312" w:cs="仿宋_GB2312" w:eastAsia="仿宋_GB2312"/>
                <w:sz w:val="28"/>
              </w:rPr>
              <w:t>供应商</w:t>
            </w:r>
            <w:r>
              <w:rPr>
                <w:rFonts w:ascii="仿宋_GB2312" w:hAnsi="仿宋_GB2312" w:cs="仿宋_GB2312" w:eastAsia="仿宋_GB2312"/>
                <w:sz w:val="28"/>
              </w:rPr>
              <w:t>按照采购人委托文件进行项目次检测；</w:t>
            </w:r>
          </w:p>
          <w:p>
            <w:pPr>
              <w:pStyle w:val="null3"/>
              <w:jc w:val="both"/>
            </w:pPr>
            <w:r>
              <w:rPr>
                <w:rFonts w:ascii="仿宋_GB2312" w:hAnsi="仿宋_GB2312" w:cs="仿宋_GB2312" w:eastAsia="仿宋_GB2312"/>
                <w:sz w:val="28"/>
              </w:rPr>
              <w:t>（二）</w:t>
            </w:r>
            <w:r>
              <w:rPr>
                <w:rFonts w:ascii="仿宋_GB2312" w:hAnsi="仿宋_GB2312" w:cs="仿宋_GB2312" w:eastAsia="仿宋_GB2312"/>
                <w:sz w:val="28"/>
              </w:rPr>
              <w:t>成果文件交付期限：接到采购人委托文件后</w:t>
            </w:r>
            <w:r>
              <w:rPr>
                <w:rFonts w:ascii="仿宋_GB2312" w:hAnsi="仿宋_GB2312" w:cs="仿宋_GB2312" w:eastAsia="仿宋_GB2312"/>
                <w:sz w:val="28"/>
              </w:rPr>
              <w:t>15个工作日内提供具有法律效力的检测报告。</w:t>
            </w:r>
          </w:p>
          <w:p>
            <w:pPr>
              <w:pStyle w:val="null3"/>
              <w:jc w:val="both"/>
            </w:pPr>
            <w:r>
              <w:rPr>
                <w:rFonts w:ascii="仿宋_GB2312" w:hAnsi="仿宋_GB2312" w:cs="仿宋_GB2312" w:eastAsia="仿宋_GB2312"/>
                <w:sz w:val="28"/>
              </w:rPr>
              <w:t>三、本次</w:t>
            </w:r>
            <w:r>
              <w:rPr>
                <w:rFonts w:ascii="仿宋_GB2312" w:hAnsi="仿宋_GB2312" w:cs="仿宋_GB2312" w:eastAsia="仿宋_GB2312"/>
                <w:sz w:val="28"/>
              </w:rPr>
              <w:t>磋商</w:t>
            </w:r>
            <w:r>
              <w:rPr>
                <w:rFonts w:ascii="仿宋_GB2312" w:hAnsi="仿宋_GB2312" w:cs="仿宋_GB2312" w:eastAsia="仿宋_GB2312"/>
                <w:sz w:val="28"/>
              </w:rPr>
              <w:t>按照检测项目进行单价</w:t>
            </w:r>
            <w:r>
              <w:rPr>
                <w:rFonts w:ascii="仿宋_GB2312" w:hAnsi="仿宋_GB2312" w:cs="仿宋_GB2312" w:eastAsia="仿宋_GB2312"/>
                <w:sz w:val="28"/>
              </w:rPr>
              <w:t>采购</w:t>
            </w:r>
            <w:r>
              <w:rPr>
                <w:rFonts w:ascii="仿宋_GB2312" w:hAnsi="仿宋_GB2312" w:cs="仿宋_GB2312" w:eastAsia="仿宋_GB2312"/>
                <w:sz w:val="28"/>
              </w:rPr>
              <w:t>，内容如下</w:t>
            </w:r>
          </w:p>
          <w:tbl>
            <w:tblPr>
              <w:tblBorders>
                <w:top w:val="none" w:color="000000" w:sz="4"/>
                <w:left w:val="none" w:color="000000" w:sz="4"/>
                <w:bottom w:val="none" w:color="000000" w:sz="4"/>
                <w:right w:val="none" w:color="000000" w:sz="4"/>
                <w:insideH w:val="none"/>
                <w:insideV w:val="none"/>
              </w:tblBorders>
            </w:tblPr>
            <w:tblGrid>
              <w:gridCol w:w="224"/>
              <w:gridCol w:w="358"/>
              <w:gridCol w:w="992"/>
              <w:gridCol w:w="427"/>
              <w:gridCol w:w="552"/>
            </w:tblGrid>
            <w:tr>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检测</w:t>
                  </w:r>
                </w:p>
                <w:p>
                  <w:pPr>
                    <w:pStyle w:val="null3"/>
                    <w:jc w:val="center"/>
                  </w:pPr>
                  <w:r>
                    <w:rPr>
                      <w:rFonts w:ascii="仿宋_GB2312" w:hAnsi="仿宋_GB2312" w:cs="仿宋_GB2312" w:eastAsia="仿宋_GB2312"/>
                      <w:sz w:val="24"/>
                      <w:color w:val="000000"/>
                    </w:rPr>
                    <w:t>类别</w:t>
                  </w:r>
                </w:p>
              </w:tc>
              <w:tc>
                <w:tcPr>
                  <w:tcW w:type="dxa" w:w="9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检测项目</w:t>
                  </w:r>
                </w:p>
              </w:tc>
              <w:tc>
                <w:tcPr>
                  <w:tcW w:type="dxa" w:w="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5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基准价</w:t>
                  </w:r>
                </w:p>
                <w:p>
                  <w:pPr>
                    <w:pStyle w:val="null3"/>
                    <w:jc w:val="center"/>
                  </w:pPr>
                  <w:r>
                    <w:rPr>
                      <w:rFonts w:ascii="仿宋_GB2312" w:hAnsi="仿宋_GB2312" w:cs="仿宋_GB2312" w:eastAsia="仿宋_GB2312"/>
                      <w:sz w:val="24"/>
                      <w:color w:val="000000"/>
                    </w:rPr>
                    <w:t>（元）</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混凝土试块</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抗压强度</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58"/>
                  <w:vMerge/>
                  <w:tcBorders>
                    <w:top w:val="none" w:color="000000" w:sz="4"/>
                    <w:left w:val="none" w:color="000000" w:sz="4"/>
                    <w:bottom w:val="single" w:color="000000" w:sz="4"/>
                    <w:right w:val="single" w:color="000000" w:sz="4"/>
                  </w:tcBorders>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抗冻性</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每循环</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58"/>
                  <w:vMerge/>
                  <w:tcBorders>
                    <w:top w:val="none" w:color="000000" w:sz="4"/>
                    <w:left w:val="none" w:color="000000" w:sz="4"/>
                    <w:bottom w:val="single" w:color="000000" w:sz="4"/>
                    <w:right w:val="single" w:color="000000" w:sz="4"/>
                  </w:tcBorders>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抗渗性</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每等级</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混凝土构件</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混凝土回弹强度</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构件</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58"/>
                  <w:vMerge/>
                  <w:tcBorders>
                    <w:top w:val="none" w:color="000000" w:sz="4"/>
                    <w:left w:val="none" w:color="000000" w:sz="4"/>
                    <w:bottom w:val="single" w:color="000000" w:sz="4"/>
                    <w:right w:val="single" w:color="000000" w:sz="4"/>
                  </w:tcBorders>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钢筋保护层厚度</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构件</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58"/>
                  <w:vMerge/>
                  <w:tcBorders>
                    <w:top w:val="none" w:color="000000" w:sz="4"/>
                    <w:left w:val="none" w:color="000000" w:sz="4"/>
                    <w:bottom w:val="single" w:color="000000" w:sz="4"/>
                    <w:right w:val="single" w:color="000000" w:sz="4"/>
                  </w:tcBorders>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钢筋锈蚀</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构件</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地基与基础</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地基承载力</w:t>
                  </w:r>
                </w:p>
                <w:p>
                  <w:pPr>
                    <w:pStyle w:val="null3"/>
                    <w:jc w:val="center"/>
                  </w:pPr>
                  <w:r>
                    <w:rPr>
                      <w:rFonts w:ascii="仿宋_GB2312" w:hAnsi="仿宋_GB2312" w:cs="仿宋_GB2312" w:eastAsia="仿宋_GB2312"/>
                      <w:sz w:val="24"/>
                      <w:color w:val="000000"/>
                    </w:rPr>
                    <w:t>（轻型动力触探）</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58"/>
                  <w:vMerge/>
                  <w:tcBorders>
                    <w:top w:val="none" w:color="000000" w:sz="4"/>
                    <w:left w:val="none" w:color="000000" w:sz="4"/>
                    <w:bottom w:val="single" w:color="000000" w:sz="4"/>
                    <w:right w:val="single" w:color="000000" w:sz="4"/>
                  </w:tcBorders>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地基承载力</w:t>
                  </w:r>
                </w:p>
                <w:p>
                  <w:pPr>
                    <w:pStyle w:val="null3"/>
                    <w:jc w:val="center"/>
                  </w:pPr>
                  <w:r>
                    <w:rPr>
                      <w:rFonts w:ascii="仿宋_GB2312" w:hAnsi="仿宋_GB2312" w:cs="仿宋_GB2312" w:eastAsia="仿宋_GB2312"/>
                      <w:sz w:val="24"/>
                      <w:color w:val="000000"/>
                    </w:rPr>
                    <w:t>（重型动力触探）</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58"/>
                  <w:vMerge/>
                  <w:tcBorders>
                    <w:top w:val="none" w:color="000000" w:sz="4"/>
                    <w:left w:val="none" w:color="000000" w:sz="4"/>
                    <w:bottom w:val="single" w:color="000000" w:sz="4"/>
                    <w:right w:val="single" w:color="000000" w:sz="4"/>
                  </w:tcBorders>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单桩承载力</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道路</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沥青面层压实度</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58"/>
                  <w:vMerge/>
                  <w:tcBorders>
                    <w:top w:val="none" w:color="000000" w:sz="4"/>
                    <w:left w:val="none" w:color="000000" w:sz="4"/>
                    <w:bottom w:val="single" w:color="000000" w:sz="4"/>
                    <w:right w:val="single" w:color="000000" w:sz="4"/>
                  </w:tcBorders>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沥青面层弯沉值</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单元</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58"/>
                  <w:vMerge/>
                  <w:tcBorders>
                    <w:top w:val="none" w:color="000000" w:sz="4"/>
                    <w:left w:val="none" w:color="000000" w:sz="4"/>
                    <w:bottom w:val="single" w:color="000000" w:sz="4"/>
                    <w:right w:val="single" w:color="000000" w:sz="4"/>
                  </w:tcBorders>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混凝土面层抗弯拉强度</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3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压实</w:t>
                  </w:r>
                </w:p>
                <w:p>
                  <w:pPr>
                    <w:pStyle w:val="null3"/>
                    <w:jc w:val="center"/>
                  </w:pPr>
                  <w:r>
                    <w:rPr>
                      <w:rFonts w:ascii="仿宋_GB2312" w:hAnsi="仿宋_GB2312" w:cs="仿宋_GB2312" w:eastAsia="仿宋_GB2312"/>
                      <w:sz w:val="24"/>
                      <w:color w:val="000000"/>
                    </w:rPr>
                    <w:t>质量</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压实度（环刀法）</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358"/>
                  <w:vMerge/>
                  <w:tcBorders>
                    <w:top w:val="none" w:color="000000" w:sz="4"/>
                    <w:left w:val="none" w:color="000000" w:sz="4"/>
                    <w:bottom w:val="single" w:color="000000" w:sz="4"/>
                    <w:right w:val="single" w:color="000000" w:sz="4"/>
                  </w:tcBorders>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压实度（灌砂法）</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58"/>
                  <w:vMerge/>
                  <w:tcBorders>
                    <w:top w:val="none" w:color="000000" w:sz="4"/>
                    <w:left w:val="none" w:color="000000" w:sz="4"/>
                    <w:bottom w:val="single" w:color="000000" w:sz="4"/>
                    <w:right w:val="single" w:color="000000" w:sz="4"/>
                  </w:tcBorders>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相对密度</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3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土工合成材料</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单位面积质量</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358"/>
                  <w:vMerge/>
                  <w:tcBorders>
                    <w:top w:val="none" w:color="000000" w:sz="4"/>
                    <w:left w:val="none" w:color="000000" w:sz="4"/>
                    <w:bottom w:val="single" w:color="000000" w:sz="4"/>
                    <w:right w:val="single" w:color="000000" w:sz="4"/>
                  </w:tcBorders>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厚度</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358"/>
                  <w:vMerge/>
                  <w:tcBorders>
                    <w:top w:val="none" w:color="000000" w:sz="4"/>
                    <w:left w:val="none" w:color="000000" w:sz="4"/>
                    <w:bottom w:val="single" w:color="000000" w:sz="4"/>
                    <w:right w:val="single" w:color="000000" w:sz="4"/>
                  </w:tcBorders>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断裂强度</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358"/>
                  <w:vMerge/>
                  <w:tcBorders>
                    <w:top w:val="none" w:color="000000" w:sz="4"/>
                    <w:left w:val="none" w:color="000000" w:sz="4"/>
                    <w:bottom w:val="single" w:color="000000" w:sz="4"/>
                    <w:right w:val="single" w:color="000000" w:sz="4"/>
                  </w:tcBorders>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断裂伸长率</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358"/>
                  <w:vMerge/>
                  <w:tcBorders>
                    <w:top w:val="none" w:color="000000" w:sz="4"/>
                    <w:left w:val="none" w:color="000000" w:sz="4"/>
                    <w:bottom w:val="single" w:color="000000" w:sz="4"/>
                    <w:right w:val="single" w:color="000000" w:sz="4"/>
                  </w:tcBorders>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撕破强力</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358"/>
                  <w:vMerge/>
                  <w:tcBorders>
                    <w:top w:val="none" w:color="000000" w:sz="4"/>
                    <w:left w:val="none" w:color="000000" w:sz="4"/>
                    <w:bottom w:val="single" w:color="000000" w:sz="4"/>
                    <w:right w:val="single" w:color="000000" w:sz="4"/>
                  </w:tcBorders>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顶破强力</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358"/>
                  <w:vMerge/>
                  <w:tcBorders>
                    <w:top w:val="none" w:color="000000" w:sz="4"/>
                    <w:left w:val="none" w:color="000000" w:sz="4"/>
                    <w:bottom w:val="single" w:color="000000" w:sz="4"/>
                    <w:right w:val="single" w:color="000000" w:sz="4"/>
                  </w:tcBorders>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等效孔径</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358"/>
                  <w:vMerge/>
                  <w:tcBorders>
                    <w:top w:val="none" w:color="000000" w:sz="4"/>
                    <w:left w:val="none" w:color="000000" w:sz="4"/>
                    <w:bottom w:val="single" w:color="000000" w:sz="4"/>
                    <w:right w:val="single" w:color="000000" w:sz="4"/>
                  </w:tcBorders>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耐静水压力</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358"/>
                  <w:vMerge/>
                  <w:tcBorders>
                    <w:top w:val="none" w:color="000000" w:sz="4"/>
                    <w:left w:val="none" w:color="000000" w:sz="4"/>
                    <w:bottom w:val="single" w:color="000000" w:sz="4"/>
                    <w:right w:val="single" w:color="000000" w:sz="4"/>
                  </w:tcBorders>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垂直渗透系数</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水泥</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3天、28天抗压强度及抗折强度，密度、细度，凝结时间，安定性</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粉煤灰</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细度、含水量、需水量比、烧矢量、三氧化硫、游离氧化钙、二氧化硅、三氧化二铝、三氧化二铁、碱含量、密度、安定性</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细骨料</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细度模数、石粉含量、含泥量、泥块含量、表面含水率、硫化物及硫酸盐含量、碱活性、有机质含量、轻物质含量、坚固性、堆积密度及空隙率、云母含量、石粉含量</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粗骨料</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超径、逊径、含泥量、泥块含量、针片状、表观密度及吸水率、饱和面干吸水率、压碎指标、硫化物及硫酸盐含量、有机质含量、碱活性、堆积密度及空隙率、颗粒级配</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混凝土外加剂</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含固量、含水率、密度、细度、</w:t>
                  </w:r>
                  <w:r>
                    <w:rPr>
                      <w:rFonts w:ascii="仿宋_GB2312" w:hAnsi="仿宋_GB2312" w:cs="仿宋_GB2312" w:eastAsia="仿宋_GB2312"/>
                      <w:sz w:val="24"/>
                      <w:color w:val="000000"/>
                    </w:rPr>
                    <w:t>PH值、氯离子含量、硫酸钠含量、减水率、泌水率比、含气量、凝结时间差、塌落度、抗压强度比、收缩率比、相对耐久性、凝结时间</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3900.00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块石</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饱和单轴抗压强度、软化系数</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钢筋</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外观质量及直径、抗拉强度、屈服点、断后伸长率、反向弯曲</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钢筋接头</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抗拉强度</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铜止水</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抗拉强度、断后伸长率</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橡胶止水带</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抗拉强度、伸长率、撕裂强度</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土料</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含水率、重度、颗粒级配、有机质含量、液限、塑限</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3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室内击实</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最大干密度、最优含水率</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358"/>
                  <w:vMerge/>
                  <w:tcBorders>
                    <w:top w:val="none" w:color="000000" w:sz="4"/>
                    <w:left w:val="none" w:color="000000" w:sz="4"/>
                    <w:bottom w:val="single" w:color="000000" w:sz="4"/>
                    <w:right w:val="single" w:color="000000" w:sz="4"/>
                  </w:tcBorders>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最大干密度、最小干密度</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砂浆</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抗压强度</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砖和砌块</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尺寸偏差、外观质量、强度</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600.00</w:t>
                  </w:r>
                </w:p>
              </w:tc>
            </w:tr>
          </w:tbl>
          <w:p>
            <w:pPr>
              <w:pStyle w:val="null3"/>
              <w:jc w:val="both"/>
            </w:pPr>
            <w:r>
              <w:rPr>
                <w:rFonts w:ascii="仿宋_GB2312" w:hAnsi="仿宋_GB2312" w:cs="仿宋_GB2312" w:eastAsia="仿宋_GB2312"/>
                <w:sz w:val="28"/>
              </w:rPr>
              <w:t>四、报价及合同签订：</w:t>
            </w:r>
          </w:p>
          <w:p>
            <w:pPr>
              <w:pStyle w:val="null3"/>
            </w:pP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供应商</w:t>
            </w:r>
            <w:r>
              <w:rPr>
                <w:rFonts w:ascii="仿宋_GB2312" w:hAnsi="仿宋_GB2312" w:cs="仿宋_GB2312" w:eastAsia="仿宋_GB2312"/>
                <w:sz w:val="28"/>
                <w:color w:val="000000"/>
              </w:rPr>
              <w:t>只报折扣，以</w:t>
            </w:r>
            <w:r>
              <w:rPr>
                <w:rFonts w:ascii="仿宋_GB2312" w:hAnsi="仿宋_GB2312" w:cs="仿宋_GB2312" w:eastAsia="仿宋_GB2312"/>
                <w:sz w:val="28"/>
                <w:color w:val="000000"/>
              </w:rPr>
              <w:t>成交</w:t>
            </w:r>
            <w:r>
              <w:rPr>
                <w:rFonts w:ascii="仿宋_GB2312" w:hAnsi="仿宋_GB2312" w:cs="仿宋_GB2312" w:eastAsia="仿宋_GB2312"/>
                <w:sz w:val="28"/>
                <w:color w:val="000000"/>
              </w:rPr>
              <w:t>折扣折算单价签订单价合同。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根据检测类别和检测项目配备相应人数，确保项目顺利实施。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配备科学合理的检测仪器设备，确保检测数据的真实性、可靠性，保证项目按期完成并通过组织验收。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供应商按照国家的检测验收有关规定，向采购人提供验收资料，由采购人组织验收，并在验收后给予认可或提出整改意见，如需整改，供应商应按要求整改并承担由自身原因造成整改的费用，验收日期（不需整改的合格工作）为供应商提交检测报告之日；需整改后方能达到验收要求的，应为供应商整改后提请采购人验收的日期。 2、验收依据：合同文本、磋商文件和成交供应商的磋商响应文件、成交供应商报送的资料。</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按月汇总结算。结算金额=基准价*折扣*检测数量。按照项目次检测并支付费用；出具具有法律效力的检测报告，提供正式发票后支付单次检测费用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同上条付款条件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同上条付款条件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同上条付款条件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同上条付款条件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同上条付款条件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同上条付款条件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同上条付款条件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同上条付款条件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同上条付款条件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同上条付款条件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同上条付款条件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1、按照《中华人民共和国民法典》中的相关条款执行。 2、供应商履约延误。如供应商事先未征得采购人同意并得到采购人的谅解而单方面延迟服务或退出本项目，将按违约终止合同。 3、违约终止合同：未按合同要求提供服务不能满足检测要求，采购人会同监督机构有权终止合同，对供应商违约行为进行追究，同时按政府采购法的有关规定进行相应的处罚。 4、解决争议的方法：双方就本合同条款发生纠纷时，友好协商解决，协商不成时任何一方均可选择向采购人所在地法院诉讼解决。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为完成本项目磋商文件中所提出的工作范围及要求的全部内容，并达到国家及采购人验收标准而产生的所有费用，包括但不限于完成检测任务并按要求出具相应数量成果所需的全部费用，完成本项目的直接费和间接费、税金等一切费用，任何错报、漏报由供应商自行负责。 2、采购标的对应的中小企业划分标准所属行业：其他未列明行业。根据《工业和信息化部、国家统计局、国家发展和改革委员会、财政部关于印发中小企业划型标准规定的通知》（工信部联企业〔2011〕300号）规定的划分标准，从业人员300人以下的为中小微型企业。其中，从业人员100人及以上的为中型企业；从业人员10人及以上的为小型企业；从业人员10人以下的为微型企业。 3、供应商在各类公开平台被政府或相关部门通报或者在检测活动中存在违法违规行为的,不得参与该项目的磋商活动。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法定代表人授权委托书（附法定代表人身份证复印件）及被授权委托人身份证（法定代表人参加磋商只需提供法定代表人身份证）；供应商需在项目电子化交易系统中按要求上传相应证明文件并进行电子签章。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应具有水利行政主管部门颁发的合格有效的水利工程质量检测机构甲级资质证书（检测范围应包含岩土工程类、混凝土工程类）；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CMA计量认证证书</w:t>
            </w:r>
          </w:p>
        </w:tc>
        <w:tc>
          <w:tcPr>
            <w:tcW w:type="dxa" w:w="3322"/>
          </w:tcPr>
          <w:p>
            <w:pPr>
              <w:pStyle w:val="null3"/>
            </w:pPr>
            <w:r>
              <w:rPr>
                <w:rFonts w:ascii="仿宋_GB2312" w:hAnsi="仿宋_GB2312" w:cs="仿宋_GB2312" w:eastAsia="仿宋_GB2312"/>
              </w:rPr>
              <w:t>供应商应具有省级及以上质量技术监督部门颁发的有效期内的CMA计量认证证书；供应商需在项目电子化交易系统中按要求上传相应证明文件并进行电子签章。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报价一览表 服务内容及服务邀请应答表 中小企业声明函 商务应答表 承诺书 报价表 业绩证明文件及响应方案说明 响应文件封面 资格证明文件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磋商响应有效期达到磋商文件的要求；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w:t>
            </w:r>
          </w:p>
        </w:tc>
        <w:tc>
          <w:tcPr>
            <w:tcW w:type="dxa" w:w="1661"/>
          </w:tcPr>
          <w:p>
            <w:pPr>
              <w:pStyle w:val="null3"/>
            </w:pPr>
            <w:r>
              <w:rPr>
                <w:rFonts w:ascii="仿宋_GB2312" w:hAnsi="仿宋_GB2312" w:cs="仿宋_GB2312" w:eastAsia="仿宋_GB2312"/>
              </w:rPr>
              <w:t>报价一览表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报价一览表 服务内容及服务邀请应答表 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报价一览表 服务内容及服务邀请应答表 中小企业声明函 商务应答表 承诺书 报价表 业绩证明文件及响应方案说明 响应文件封面 资格证明文件 残疾人福利性单位声明函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报价一览表 服务内容及服务邀请应答表 中小企业声明函 商务应答表 承诺书 报价表 业绩证明文件及响应方案说明 响应文件封面 资格证明文件 残疾人福利性单位声明函 标的清单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报价一览表 服务内容及服务邀请应答表 中小企业声明函 商务应答表 承诺书 报价表 业绩证明文件及响应方案说明 响应文件封面 资格证明文件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企业业绩证明</w:t>
            </w:r>
          </w:p>
        </w:tc>
        <w:tc>
          <w:tcPr>
            <w:tcW w:type="dxa" w:w="2492"/>
          </w:tcPr>
          <w:p>
            <w:pPr>
              <w:pStyle w:val="null3"/>
            </w:pPr>
            <w:r>
              <w:rPr>
                <w:rFonts w:ascii="仿宋_GB2312" w:hAnsi="仿宋_GB2312" w:cs="仿宋_GB2312" w:eastAsia="仿宋_GB2312"/>
              </w:rPr>
              <w:t>提供2022年以来类似项目业绩合同（以合同签订时间为准），每份计2分，满分10分。（注：以上证明文件在磋商响应文件中附业绩合同扫描件并加盖公司公章。）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检测实施方案</w:t>
            </w:r>
          </w:p>
        </w:tc>
        <w:tc>
          <w:tcPr>
            <w:tcW w:type="dxa" w:w="2492"/>
          </w:tcPr>
          <w:p>
            <w:pPr>
              <w:pStyle w:val="null3"/>
            </w:pPr>
            <w:r>
              <w:rPr>
                <w:rFonts w:ascii="仿宋_GB2312" w:hAnsi="仿宋_GB2312" w:cs="仿宋_GB2312" w:eastAsia="仿宋_GB2312"/>
              </w:rPr>
              <w:t>供应商根据采购人的需求和项目具体内容并结合自身情况制定详尽、完善的检测实施方案，本项满分12分；方案完整、可操作性强、细节考虑到位的计8～12（含）分；方案基本完整，有相对的可操作性，描述良好的计4～8（含）分；方案描述符合磋商文件要求，内容一般的计0～4（含）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服务质量的技术组织措施</w:t>
            </w:r>
          </w:p>
        </w:tc>
        <w:tc>
          <w:tcPr>
            <w:tcW w:type="dxa" w:w="2492"/>
          </w:tcPr>
          <w:p>
            <w:pPr>
              <w:pStyle w:val="null3"/>
            </w:pPr>
            <w:r>
              <w:rPr>
                <w:rFonts w:ascii="仿宋_GB2312" w:hAnsi="仿宋_GB2312" w:cs="仿宋_GB2312" w:eastAsia="仿宋_GB2312"/>
              </w:rPr>
              <w:t>确保本项目服务质量的技术组织措施，包含但不限于质量控制措施、检测报告的准确性、符合国家相关标准规范的相关要求，本项满分10分；措施描述完整、可操作性强、细节描述详细优越的计7～10（含）分；有相对的操作性，描述良好的计4～7（含）分；内容一般的计0～4（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安全的技术组织措施</w:t>
            </w:r>
          </w:p>
        </w:tc>
        <w:tc>
          <w:tcPr>
            <w:tcW w:type="dxa" w:w="2492"/>
          </w:tcPr>
          <w:p>
            <w:pPr>
              <w:pStyle w:val="null3"/>
            </w:pPr>
            <w:r>
              <w:rPr>
                <w:rFonts w:ascii="仿宋_GB2312" w:hAnsi="仿宋_GB2312" w:cs="仿宋_GB2312" w:eastAsia="仿宋_GB2312"/>
              </w:rPr>
              <w:t>确保本项目安全的技术组织措施，本项满分10分；措施描述完整、可操作性强、细节描述详细优越的计7～10（含）分；有相对的操作性，描述良好计4～7（含）分；内容一般的计0～4（含）分。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检测服务进度保障措施</w:t>
            </w:r>
          </w:p>
        </w:tc>
        <w:tc>
          <w:tcPr>
            <w:tcW w:type="dxa" w:w="2492"/>
          </w:tcPr>
          <w:p>
            <w:pPr>
              <w:pStyle w:val="null3"/>
            </w:pPr>
            <w:r>
              <w:rPr>
                <w:rFonts w:ascii="仿宋_GB2312" w:hAnsi="仿宋_GB2312" w:cs="仿宋_GB2312" w:eastAsia="仿宋_GB2312"/>
              </w:rPr>
              <w:t>确保检测服务进度保障措施，本项满分8分；措施描述完整、可操作性强、细节描述详细优越的计5～8（含）分；有相对的操作性，描述良好计3～5（含）分；内容一般的计0～3（含）分。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有完善的工程质量检测制度、检验档案管理制度及责任追究等管理制度，根据响应内容程度计0～5分,本项满分5分。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人员设置及人员分工</w:t>
            </w:r>
          </w:p>
        </w:tc>
        <w:tc>
          <w:tcPr>
            <w:tcW w:type="dxa" w:w="2492"/>
          </w:tcPr>
          <w:p>
            <w:pPr>
              <w:pStyle w:val="null3"/>
            </w:pPr>
            <w:r>
              <w:rPr>
                <w:rFonts w:ascii="仿宋_GB2312" w:hAnsi="仿宋_GB2312" w:cs="仿宋_GB2312" w:eastAsia="仿宋_GB2312"/>
              </w:rPr>
              <w:t>人员设置及人员分工安排合理、职责划分明确，具备能承担检测任务的专业人员，根据人员数量、专业程度、工作经验等进行赋分，本项满分12分；人员配备合理，工作人员专业水平优越计8～12（含）分；人员配备较合理，工作人员专业水平良好计4～8（含）分；人员配备基本完善、专业水平一般计0～4（含）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检测仪器设备情况</w:t>
            </w:r>
          </w:p>
        </w:tc>
        <w:tc>
          <w:tcPr>
            <w:tcW w:type="dxa" w:w="2492"/>
          </w:tcPr>
          <w:p>
            <w:pPr>
              <w:pStyle w:val="null3"/>
            </w:pPr>
            <w:r>
              <w:rPr>
                <w:rFonts w:ascii="仿宋_GB2312" w:hAnsi="仿宋_GB2312" w:cs="仿宋_GB2312" w:eastAsia="仿宋_GB2312"/>
              </w:rPr>
              <w:t>根据供应商拟投入的检测仪器设备情况进行赋分，本项满分10分；设备配备合理，先进性、安全性及稳定性强计7～10（含）分；配备较合理，先进性、安全性及稳定性较强计4～7（含）分；配备一般，先进性、安全性及稳定性一般计0～4（含）分； 注：以磋商响应文件中所附检测设备的主要检测仪器设备原始发票或租赁意向书或带有生效条件的租赁合同复印件及仪器设备检定证书或校准证书为准。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应急管理措施及合理化建议</w:t>
            </w:r>
          </w:p>
        </w:tc>
        <w:tc>
          <w:tcPr>
            <w:tcW w:type="dxa" w:w="2492"/>
          </w:tcPr>
          <w:p>
            <w:pPr>
              <w:pStyle w:val="null3"/>
            </w:pPr>
            <w:r>
              <w:rPr>
                <w:rFonts w:ascii="仿宋_GB2312" w:hAnsi="仿宋_GB2312" w:cs="仿宋_GB2312" w:eastAsia="仿宋_GB2312"/>
              </w:rPr>
              <w:t>根据本项目特点制定有效的应急预案、应急处理措施并提供合理化建议，根据响应内容程度计0～5分,本项满分5分。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完全响应竞争性磋商文件和合同条款的要求，严格按照服务方案执行，根据其对服务期的响应、服务期内的质量、人员到位情况、承诺各管理项目指标达到国家相关标准、不能完全履行服务承诺时接受处罚等情况做出实质性承诺，本项满分8分；服务承诺可操作性强、细节描述详细、完整优越计5～8（含）分；有相对的操作性、承诺内容良好计3～5（含）分；服务承诺内容一般的计0～3（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及《关于进一步加大政府采购支持中小企业力度的通知》（财库〔2022〕19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报价一览表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详见附件：业绩证明文件及响应方案说明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