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版本号：DCZX2025-ZCCS-GC105920250710001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操场塑胶跑道及草坪改造项目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DCZX2025-ZCCS-GC1059</w:t>
      </w:r>
      <w:r>
        <w:br/>
      </w:r>
      <w:r>
        <w:br/>
      </w:r>
      <w:r>
        <w:br/>
      </w:r>
    </w:p>
    <w:p>
      <w:pPr>
        <w:pStyle w:val="null3"/>
        <w:jc w:val="center"/>
        <w:outlineLvl w:val="2"/>
      </w:pPr>
      <w:r>
        <w:rPr>
          <w:rFonts w:ascii="仿宋_GB2312" w:hAnsi="仿宋_GB2312" w:cs="仿宋_GB2312" w:eastAsia="仿宋_GB2312"/>
          <w:sz w:val="28"/>
          <w:b/>
        </w:rPr>
        <w:t>西安高新第六小学</w:t>
      </w:r>
    </w:p>
    <w:p>
      <w:pPr>
        <w:pStyle w:val="null3"/>
        <w:jc w:val="center"/>
        <w:outlineLvl w:val="2"/>
      </w:pPr>
      <w:r>
        <w:rPr>
          <w:rFonts w:ascii="仿宋_GB2312" w:hAnsi="仿宋_GB2312" w:cs="仿宋_GB2312" w:eastAsia="仿宋_GB2312"/>
          <w:sz w:val="28"/>
          <w:b/>
        </w:rPr>
        <w:t>陕西鼎成项目管理咨询有限公司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2025年07月10日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陕西鼎成项目管理咨询有限公司</w:t>
      </w:r>
      <w:r>
        <w:rPr>
          <w:rFonts w:ascii="仿宋_GB2312" w:hAnsi="仿宋_GB2312" w:cs="仿宋_GB2312" w:eastAsia="仿宋_GB2312"/>
        </w:rPr>
        <w:t>（以下简称“代理机构”）受</w:t>
      </w:r>
      <w:r>
        <w:rPr>
          <w:rFonts w:ascii="仿宋_GB2312" w:hAnsi="仿宋_GB2312" w:cs="仿宋_GB2312" w:eastAsia="仿宋_GB2312"/>
        </w:rPr>
        <w:t>西安高新第六小学</w:t>
      </w:r>
      <w:r>
        <w:rPr>
          <w:rFonts w:ascii="仿宋_GB2312" w:hAnsi="仿宋_GB2312" w:cs="仿宋_GB2312" w:eastAsia="仿宋_GB2312"/>
        </w:rPr>
        <w:t>委托，拟对</w:t>
      </w:r>
      <w:r>
        <w:rPr>
          <w:rFonts w:ascii="仿宋_GB2312" w:hAnsi="仿宋_GB2312" w:cs="仿宋_GB2312" w:eastAsia="仿宋_GB2312"/>
        </w:rPr>
        <w:t>操场塑胶跑道及草坪改造项目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DCZX2025-ZCCS-GC1059</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操场塑胶跑道及草坪改造项目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西安高新第六小学操场塑胶跑道及草坪改造项目施工图纸范围内的包含拆除原有跑道、水泥路面、人造草坪及新建跑道、运动场地、排水沟等工作内容。</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采购包1（西安高新第六小学操场塑胶跑道及草坪改造项目）：属于专门面向中小企业采购。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1、企业资质 ：投标供应商须具备行业主管部门颁发的建筑工程施工总承包三级及以上资质并具有有效的安全生产许可证；</w:t>
      </w:r>
    </w:p>
    <w:p>
      <w:pPr>
        <w:pStyle w:val="null3"/>
      </w:pPr>
      <w:r>
        <w:rPr>
          <w:rFonts w:ascii="仿宋_GB2312" w:hAnsi="仿宋_GB2312" w:cs="仿宋_GB2312" w:eastAsia="仿宋_GB2312"/>
        </w:rPr>
        <w:t>2、拟派项目负责人资质和专业要求：投标供应商拟派项目经理须具备行业主管部门颁发的建筑工程专业二级及以上建造师资质及有效的安全生产考核合格证书（建安B证），在本单位注册且无在建工程（提供承诺）；</w:t>
      </w:r>
    </w:p>
    <w:p>
      <w:pPr>
        <w:pStyle w:val="null3"/>
      </w:pPr>
      <w:r>
        <w:rPr>
          <w:rFonts w:ascii="仿宋_GB2312" w:hAnsi="仿宋_GB2312" w:cs="仿宋_GB2312" w:eastAsia="仿宋_GB2312"/>
        </w:rPr>
        <w:t>3、身份证明 ：法定代表人授权书（法定代表人直接参加磋商，须提供法定代表人身份证明）注：被授权人参与磋商时，须提供响应文件截止时间前六个月内任意一个月在本单位缴纳的社保证明，依法不需要缴纳社会保障资金的供应商提供相关证明材料；</w:t>
      </w:r>
    </w:p>
    <w:p>
      <w:pPr>
        <w:pStyle w:val="null3"/>
      </w:pPr>
      <w:r>
        <w:rPr>
          <w:rFonts w:ascii="仿宋_GB2312" w:hAnsi="仿宋_GB2312" w:cs="仿宋_GB2312" w:eastAsia="仿宋_GB2312"/>
        </w:rPr>
        <w:t>4、投标供应商基本信息及项目经理基本信息 ：投标供应商基本信息及项目经理基本信息应在“陕西建设网（http://js.shaanxi.gov.cn/ ）或陕西省建筑市场监管与诚信信息发布平台”可查询；</w:t>
      </w:r>
    </w:p>
    <w:p>
      <w:pPr>
        <w:pStyle w:val="null3"/>
      </w:pPr>
      <w:r>
        <w:rPr>
          <w:rFonts w:ascii="仿宋_GB2312" w:hAnsi="仿宋_GB2312" w:cs="仿宋_GB2312" w:eastAsia="仿宋_GB2312"/>
        </w:rPr>
        <w:t>5、中小企业声明函 ：本项目专门面向中小企业采购，仅限符合《政府采购促进中小企业发展管理办法》的通知(财库〔2020〕46 号) 条件的中小企业参与，并提供中小企业声明函，残疾人福利企业、监狱企业视同中小企业。</w:t>
      </w:r>
    </w:p>
    <w:p>
      <w:pPr>
        <w:pStyle w:val="null3"/>
      </w:pPr>
      <w:r>
        <w:rPr>
          <w:rFonts w:ascii="仿宋_GB2312" w:hAnsi="仿宋_GB2312" w:cs="仿宋_GB2312" w:eastAsia="仿宋_GB2312"/>
        </w:rPr>
        <w:t>6、承诺书 ：投标供应商不得在各级诚信信息平台被列为投标受限制的行为人（提供承诺）；</w:t>
      </w:r>
    </w:p>
    <w:p>
      <w:pPr>
        <w:pStyle w:val="null3"/>
      </w:pPr>
      <w:r>
        <w:rPr>
          <w:rFonts w:ascii="仿宋_GB2312" w:hAnsi="仿宋_GB2312" w:cs="仿宋_GB2312" w:eastAsia="仿宋_GB2312"/>
        </w:rPr>
        <w:t>7、非联合体声明 ：本项目不接受联合体投标；</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西安高新第六小学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西安市高新区艺术大街北段33号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庞朝军</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029-81113688-6009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陕西鼎成项目管理咨询有限公司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陕西省西安市高新区高新路88号尚品国际B座7层703室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彭宏飞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02981773523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西安市高新技术开发区政府采购管理股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丁丽</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88333950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采购包1：1,552,445.18元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按国家计委颁发的《招标代理服务收费管理暂行办法》（计价格[2002]1980号）和国家发展改革委员会办公厅颁发的《关于招标代理服务收费有关问题的通知》(发改办价格[2003]857号）的有关规定执行。 2、成交单位在领取成交通知书前，须向采购代理机构一次性支付采购代理服务费。 代理费缴存账户： 开户名称：陕西鼎成项目管理咨询有限公司 开户银行：中国民生银行西安枫林绿洲支行 账号：171277297 （备注：项目名称+项目编号） 3、成交供应商在领取成交通知书时须携带法定代表人授权书及加盖单位公章的被授权人身份证复印件，并携带身份证原件。</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西安高新第六小学</w:t>
      </w:r>
      <w:r>
        <w:rPr>
          <w:rFonts w:ascii="仿宋_GB2312" w:hAnsi="仿宋_GB2312" w:cs="仿宋_GB2312" w:eastAsia="仿宋_GB2312"/>
        </w:rPr>
        <w:t>和</w:t>
      </w:r>
      <w:r>
        <w:rPr>
          <w:rFonts w:ascii="仿宋_GB2312" w:hAnsi="仿宋_GB2312" w:cs="仿宋_GB2312" w:eastAsia="仿宋_GB2312"/>
        </w:rPr>
        <w:t>陕西鼎成项目管理咨询有限公司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西安高新第六小学</w:t>
      </w:r>
      <w:r>
        <w:rPr>
          <w:rFonts w:ascii="仿宋_GB2312" w:hAnsi="仿宋_GB2312" w:cs="仿宋_GB2312" w:eastAsia="仿宋_GB2312"/>
        </w:rPr>
        <w:t>负责解释。除上述磋商文件内容，其他内容由</w:t>
      </w:r>
      <w:r>
        <w:rPr>
          <w:rFonts w:ascii="仿宋_GB2312" w:hAnsi="仿宋_GB2312" w:cs="仿宋_GB2312" w:eastAsia="仿宋_GB2312"/>
        </w:rPr>
        <w:t>陕西鼎成项目管理咨询有限公司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西安高新第六小学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陕西鼎成项目管理咨询有限公司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陕西鼎成项目管理咨询有限公司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陕西鼎成项目管理咨询有限公司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陕西鼎成项目管理咨询有限公司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联系人：彭宏飞</w:t>
      </w:r>
    </w:p>
    <w:p>
      <w:pPr>
        <w:pStyle w:val="null3"/>
      </w:pPr>
      <w:r>
        <w:rPr>
          <w:rFonts w:ascii="仿宋_GB2312" w:hAnsi="仿宋_GB2312" w:cs="仿宋_GB2312" w:eastAsia="仿宋_GB2312"/>
        </w:rPr>
        <w:t>联系电话：029-81773523</w:t>
      </w:r>
    </w:p>
    <w:p>
      <w:pPr>
        <w:pStyle w:val="null3"/>
      </w:pPr>
      <w:r>
        <w:rPr>
          <w:rFonts w:ascii="仿宋_GB2312" w:hAnsi="仿宋_GB2312" w:cs="仿宋_GB2312" w:eastAsia="仿宋_GB2312"/>
        </w:rPr>
        <w:t>地址：陕西省西安市高新区高新路88号尚品国际B座7层703室</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1,552,445.18</w:t>
      </w:r>
    </w:p>
    <w:p>
      <w:pPr>
        <w:pStyle w:val="null3"/>
      </w:pPr>
      <w:r>
        <w:rPr>
          <w:rFonts w:ascii="仿宋_GB2312" w:hAnsi="仿宋_GB2312" w:cs="仿宋_GB2312" w:eastAsia="仿宋_GB2312"/>
        </w:rPr>
        <w:t>采购包最高限价（元）: 1,552,445.18</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操场塑胶跑道及草坪改造</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1,552,445.18</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标的名称：操场塑胶跑道及草坪改造</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b/>
              </w:rPr>
              <w:t>一、计划工期</w:t>
            </w:r>
          </w:p>
          <w:p>
            <w:pPr>
              <w:pStyle w:val="null3"/>
              <w:ind w:firstLine="480"/>
              <w:jc w:val="both"/>
            </w:pPr>
            <w:r>
              <w:rPr>
                <w:rFonts w:ascii="仿宋_GB2312" w:hAnsi="仿宋_GB2312" w:cs="仿宋_GB2312" w:eastAsia="仿宋_GB2312"/>
                <w:sz w:val="24"/>
                <w:u w:val="single"/>
              </w:rPr>
              <w:t>45</w:t>
            </w:r>
            <w:r>
              <w:rPr>
                <w:rFonts w:ascii="仿宋_GB2312" w:hAnsi="仿宋_GB2312" w:cs="仿宋_GB2312" w:eastAsia="仿宋_GB2312"/>
                <w:sz w:val="24"/>
              </w:rPr>
              <w:t>日历天。</w:t>
            </w:r>
          </w:p>
          <w:p>
            <w:pPr>
              <w:pStyle w:val="null3"/>
              <w:jc w:val="both"/>
            </w:pPr>
            <w:r>
              <w:rPr>
                <w:rFonts w:ascii="仿宋_GB2312" w:hAnsi="仿宋_GB2312" w:cs="仿宋_GB2312" w:eastAsia="仿宋_GB2312"/>
                <w:sz w:val="24"/>
                <w:b/>
              </w:rPr>
              <w:t>二、质保期</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年。</w:t>
            </w:r>
          </w:p>
          <w:p>
            <w:pPr>
              <w:pStyle w:val="null3"/>
              <w:jc w:val="both"/>
            </w:pPr>
            <w:r>
              <w:rPr>
                <w:rFonts w:ascii="仿宋_GB2312" w:hAnsi="仿宋_GB2312" w:cs="仿宋_GB2312" w:eastAsia="仿宋_GB2312"/>
                <w:sz w:val="24"/>
                <w:b/>
              </w:rPr>
              <w:t>三、缺陷责任期</w:t>
            </w:r>
          </w:p>
          <w:p>
            <w:pPr>
              <w:pStyle w:val="null3"/>
              <w:ind w:firstLine="480"/>
              <w:jc w:val="both"/>
            </w:pPr>
            <w:r>
              <w:rPr>
                <w:rFonts w:ascii="仿宋_GB2312" w:hAnsi="仿宋_GB2312" w:cs="仿宋_GB2312" w:eastAsia="仿宋_GB2312"/>
                <w:sz w:val="24"/>
              </w:rPr>
              <w:t>自</w:t>
            </w:r>
            <w:r>
              <w:rPr>
                <w:rFonts w:ascii="仿宋_GB2312" w:hAnsi="仿宋_GB2312" w:cs="仿宋_GB2312" w:eastAsia="仿宋_GB2312"/>
                <w:sz w:val="24"/>
              </w:rPr>
              <w:t>竣工验收之日起</w:t>
            </w:r>
            <w:r>
              <w:rPr>
                <w:rFonts w:ascii="仿宋_GB2312" w:hAnsi="仿宋_GB2312" w:cs="仿宋_GB2312" w:eastAsia="仿宋_GB2312"/>
                <w:sz w:val="24"/>
                <w:u w:val="single"/>
              </w:rPr>
              <w:t xml:space="preserve"> </w:t>
            </w:r>
            <w:r>
              <w:rPr>
                <w:rFonts w:ascii="仿宋_GB2312" w:hAnsi="仿宋_GB2312" w:cs="仿宋_GB2312" w:eastAsia="仿宋_GB2312"/>
                <w:sz w:val="24"/>
                <w:u w:val="single"/>
              </w:rPr>
              <w:t xml:space="preserve">1 </w:t>
            </w:r>
            <w:r>
              <w:rPr>
                <w:rFonts w:ascii="仿宋_GB2312" w:hAnsi="仿宋_GB2312" w:cs="仿宋_GB2312" w:eastAsia="仿宋_GB2312"/>
                <w:sz w:val="24"/>
              </w:rPr>
              <w:t>年。</w:t>
            </w:r>
          </w:p>
          <w:p>
            <w:pPr>
              <w:pStyle w:val="null3"/>
              <w:jc w:val="both"/>
            </w:pPr>
            <w:r>
              <w:rPr>
                <w:rFonts w:ascii="仿宋_GB2312" w:hAnsi="仿宋_GB2312" w:cs="仿宋_GB2312" w:eastAsia="仿宋_GB2312"/>
                <w:sz w:val="24"/>
                <w:b/>
              </w:rPr>
              <w:t>四、付款条件及比例</w:t>
            </w:r>
          </w:p>
          <w:p>
            <w:pPr>
              <w:pStyle w:val="null3"/>
              <w:ind w:firstLine="480"/>
              <w:jc w:val="both"/>
            </w:pPr>
            <w:r>
              <w:rPr>
                <w:rFonts w:ascii="仿宋_GB2312" w:hAnsi="仿宋_GB2312" w:cs="仿宋_GB2312" w:eastAsia="仿宋_GB2312"/>
                <w:sz w:val="24"/>
              </w:rPr>
              <w:t>1、合同签订材料进场后，甲方向乙方支付合同价款的40%作为预付款。</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乙方完成全部工程量时，经甲方组织有关部门验收合格后，甲方向乙方支付至合同总价款的</w:t>
            </w:r>
            <w:r>
              <w:rPr>
                <w:rFonts w:ascii="仿宋_GB2312" w:hAnsi="仿宋_GB2312" w:cs="仿宋_GB2312" w:eastAsia="仿宋_GB2312"/>
                <w:sz w:val="24"/>
              </w:rPr>
              <w:t>8</w:t>
            </w:r>
            <w:r>
              <w:rPr>
                <w:rFonts w:ascii="仿宋_GB2312" w:hAnsi="仿宋_GB2312" w:cs="仿宋_GB2312" w:eastAsia="仿宋_GB2312"/>
                <w:sz w:val="24"/>
              </w:rPr>
              <w:t>0%。</w:t>
            </w:r>
          </w:p>
          <w:p>
            <w:pPr>
              <w:pStyle w:val="null3"/>
              <w:ind w:firstLine="480"/>
              <w:jc w:val="both"/>
            </w:pPr>
            <w:r>
              <w:rPr>
                <w:rFonts w:ascii="仿宋_GB2312" w:hAnsi="仿宋_GB2312" w:cs="仿宋_GB2312" w:eastAsia="仿宋_GB2312"/>
                <w:sz w:val="24"/>
              </w:rPr>
              <w:t>3、经政府相关审计部门审计完成后，</w:t>
            </w:r>
            <w:r>
              <w:rPr>
                <w:rFonts w:ascii="仿宋_GB2312" w:hAnsi="仿宋_GB2312" w:cs="仿宋_GB2312" w:eastAsia="仿宋_GB2312"/>
                <w:sz w:val="24"/>
              </w:rPr>
              <w:t>支付</w:t>
            </w:r>
            <w:r>
              <w:rPr>
                <w:rFonts w:ascii="仿宋_GB2312" w:hAnsi="仿宋_GB2312" w:cs="仿宋_GB2312" w:eastAsia="仿宋_GB2312"/>
                <w:sz w:val="24"/>
              </w:rPr>
              <w:t>至审计结算价款</w:t>
            </w:r>
            <w:r>
              <w:rPr>
                <w:rFonts w:ascii="仿宋_GB2312" w:hAnsi="仿宋_GB2312" w:cs="仿宋_GB2312" w:eastAsia="仿宋_GB2312"/>
                <w:sz w:val="24"/>
              </w:rPr>
              <w:t>的</w:t>
            </w:r>
            <w:r>
              <w:rPr>
                <w:rFonts w:ascii="仿宋_GB2312" w:hAnsi="仿宋_GB2312" w:cs="仿宋_GB2312" w:eastAsia="仿宋_GB2312"/>
                <w:sz w:val="24"/>
              </w:rPr>
              <w:t>100</w:t>
            </w:r>
            <w:r>
              <w:rPr>
                <w:rFonts w:ascii="仿宋_GB2312" w:hAnsi="仿宋_GB2312" w:cs="仿宋_GB2312" w:eastAsia="仿宋_GB2312"/>
                <w:sz w:val="24"/>
              </w:rPr>
              <w:t>%</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b/>
              </w:rPr>
              <w:t>五、合同定价方式</w:t>
            </w:r>
          </w:p>
          <w:p>
            <w:pPr>
              <w:pStyle w:val="null3"/>
              <w:jc w:val="both"/>
            </w:pPr>
            <w:r>
              <w:rPr>
                <w:rFonts w:ascii="仿宋_GB2312" w:hAnsi="仿宋_GB2312" w:cs="仿宋_GB2312" w:eastAsia="仿宋_GB2312"/>
                <w:sz w:val="21"/>
              </w:rPr>
              <w:t xml:space="preserve">   </w:t>
            </w:r>
            <w:r>
              <w:rPr>
                <w:rFonts w:ascii="仿宋_GB2312" w:hAnsi="仿宋_GB2312" w:cs="仿宋_GB2312" w:eastAsia="仿宋_GB2312"/>
                <w:sz w:val="24"/>
              </w:rPr>
              <w:t>本合同价款采用</w:t>
            </w:r>
            <w:r>
              <w:rPr>
                <w:rFonts w:ascii="仿宋_GB2312" w:hAnsi="仿宋_GB2312" w:cs="仿宋_GB2312" w:eastAsia="仿宋_GB2312"/>
                <w:sz w:val="21"/>
                <w:u w:val="single"/>
              </w:rPr>
              <w:t xml:space="preserve"> </w:t>
            </w:r>
            <w:r>
              <w:rPr>
                <w:rFonts w:ascii="仿宋_GB2312" w:hAnsi="仿宋_GB2312" w:cs="仿宋_GB2312" w:eastAsia="仿宋_GB2312"/>
                <w:sz w:val="24"/>
                <w:u w:val="single"/>
              </w:rPr>
              <w:t>（</w:t>
            </w:r>
            <w:r>
              <w:rPr>
                <w:rFonts w:ascii="仿宋_GB2312" w:hAnsi="仿宋_GB2312" w:cs="仿宋_GB2312" w:eastAsia="仿宋_GB2312"/>
                <w:sz w:val="24"/>
                <w:b/>
                <w:u w:val="single"/>
              </w:rPr>
              <w:t>固定</w:t>
            </w:r>
            <w:r>
              <w:rPr>
                <w:rFonts w:ascii="仿宋_GB2312" w:hAnsi="仿宋_GB2312" w:cs="仿宋_GB2312" w:eastAsia="仿宋_GB2312"/>
                <w:sz w:val="24"/>
                <w:b/>
                <w:u w:val="single"/>
              </w:rPr>
              <w:t>总价</w:t>
            </w:r>
            <w:r>
              <w:rPr>
                <w:rFonts w:ascii="仿宋_GB2312" w:hAnsi="仿宋_GB2312" w:cs="仿宋_GB2312" w:eastAsia="仿宋_GB2312"/>
                <w:sz w:val="24"/>
                <w:u w:val="single"/>
              </w:rPr>
              <w:t>）</w:t>
            </w:r>
            <w:r>
              <w:rPr>
                <w:rFonts w:ascii="仿宋_GB2312" w:hAnsi="仿宋_GB2312" w:cs="仿宋_GB2312" w:eastAsia="仿宋_GB2312"/>
                <w:sz w:val="21"/>
                <w:u w:val="single"/>
              </w:rPr>
              <w:t xml:space="preserve"> </w:t>
            </w:r>
            <w:r>
              <w:rPr>
                <w:rFonts w:ascii="仿宋_GB2312" w:hAnsi="仿宋_GB2312" w:cs="仿宋_GB2312" w:eastAsia="仿宋_GB2312"/>
                <w:sz w:val="24"/>
              </w:rPr>
              <w:t>方式确定</w:t>
            </w:r>
            <w:r>
              <w:rPr>
                <w:rFonts w:ascii="仿宋_GB2312" w:hAnsi="仿宋_GB2312" w:cs="仿宋_GB2312" w:eastAsia="仿宋_GB2312"/>
                <w:sz w:val="24"/>
              </w:rPr>
              <w:t>。</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（1）各供应商应根据“陕西省财政厅 陕财办采函[2023]14号文”《陕西省财政厅关于省级预算单位全面推行政府采购项目电子化交易的通知》、“陕西省财政厅 陕财办采[2022]9号文”《政府采购项目电子化交易规则》等文件的要求，做好人员配备、设施设备、系统操作的相应准备，熟悉并正确实施相关操作流程，承担由于操作或其他因素造成的不利后果。 （2）竞争性磋商文件第六章6.3.4：“（五）若采用项目包干价的，供应商直接给出其完成本项目全部工作内容所需的总价，不再提供已标价工程量清单（报价格式要求见第六章）。”为系统自动生成内容，无法更改，本项目需要提供已标价工程量清单。 （3）“若供应商的最后报价只有一个总价，则供应商应当提交相应调整部分的报价构成及明细，并结合首次报价提供的已标价工程量清单，重新计算总报价。”为系统自动生成，无法更改，本项目二次报价只需填报项目总报价。</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（1）根据投标供应商类别进行提供： ①如供应商是企业（包括合伙企业），应提供在工商部门注册的有效“企业法人营业执照”或“营业执照”； ②如供应商是事业单位，应提供有效的“事业单位法人证书”； ③如供应商是为企业专业服务机构的，应提供执业许可证等证明文件； ④如供应商是个体工商户，应提供有效的“个体工商户营业执照”； ⑤如供应商为自然人，应提供有效的自然人身份证明。 （2）基本资格条件承诺函。</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基本资格条件承诺函。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投标供应商须具备行业主管部门颁发的建筑工程施工总承包三级及以上资质并具有有效的安全生产许可证；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拟派项目负责人资质和专业要求</w:t>
            </w:r>
          </w:p>
        </w:tc>
        <w:tc>
          <w:tcPr>
            <w:tcW w:type="dxa" w:w="3322"/>
          </w:tcPr>
          <w:p>
            <w:pPr>
              <w:pStyle w:val="null3"/>
            </w:pPr>
            <w:r>
              <w:rPr>
                <w:rFonts w:ascii="仿宋_GB2312" w:hAnsi="仿宋_GB2312" w:cs="仿宋_GB2312" w:eastAsia="仿宋_GB2312"/>
              </w:rPr>
              <w:t>投标供应商拟派项目经理须具备行业主管部门颁发的建筑工程专业二级及以上建造师资质及有效的安全生产考核合格证书（建安B证），在本单位注册且无在建工程（提供承诺）；</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身份证明</w:t>
            </w:r>
          </w:p>
        </w:tc>
        <w:tc>
          <w:tcPr>
            <w:tcW w:type="dxa" w:w="3322"/>
          </w:tcPr>
          <w:p>
            <w:pPr>
              <w:pStyle w:val="null3"/>
            </w:pPr>
            <w:r>
              <w:rPr>
                <w:rFonts w:ascii="仿宋_GB2312" w:hAnsi="仿宋_GB2312" w:cs="仿宋_GB2312" w:eastAsia="仿宋_GB2312"/>
              </w:rPr>
              <w:t>法定代表人授权书（法定代表人直接参加磋商，须提供法定代表人身份证明）注：被授权人参与磋商时，须提供响应文件截止时间前六个月内任意一个月在本单位缴纳的社保证明，依法不需要缴纳社会保障资金的供应商提供相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投标供应商基本信息及项目经理基本信息</w:t>
            </w:r>
          </w:p>
        </w:tc>
        <w:tc>
          <w:tcPr>
            <w:tcW w:type="dxa" w:w="3322"/>
          </w:tcPr>
          <w:p>
            <w:pPr>
              <w:pStyle w:val="null3"/>
            </w:pPr>
            <w:r>
              <w:rPr>
                <w:rFonts w:ascii="仿宋_GB2312" w:hAnsi="仿宋_GB2312" w:cs="仿宋_GB2312" w:eastAsia="仿宋_GB2312"/>
              </w:rPr>
              <w:t>投标供应商基本信息及项目经理基本信息应在“陕西建设网（http://js.shaanxi.gov.cn/ ）或陕西省建筑市场监管与诚信信息发布平台”可查询；</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本项目专门面向中小企业采购，仅限符合《政府采购促进中小企业发展管理办法》的通知(财库〔2020〕46 号) 条件的中小企业参与，并提供中小企业声明函，残疾人福利企业、监狱企业视同中小企业。</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承诺书</w:t>
            </w:r>
          </w:p>
        </w:tc>
        <w:tc>
          <w:tcPr>
            <w:tcW w:type="dxa" w:w="3322"/>
          </w:tcPr>
          <w:p>
            <w:pPr>
              <w:pStyle w:val="null3"/>
            </w:pPr>
            <w:r>
              <w:rPr>
                <w:rFonts w:ascii="仿宋_GB2312" w:hAnsi="仿宋_GB2312" w:cs="仿宋_GB2312" w:eastAsia="仿宋_GB2312"/>
              </w:rPr>
              <w:t>投标供应商不得在各级诚信信息平台被列为投标受限制的行为人（提供承诺）；</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已标价工程量清单.docx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响应文件内容</w:t>
            </w:r>
          </w:p>
        </w:tc>
        <w:tc>
          <w:tcPr>
            <w:tcW w:type="dxa" w:w="3322"/>
          </w:tcPr>
          <w:p>
            <w:pPr>
              <w:pStyle w:val="null3"/>
            </w:pPr>
            <w:r>
              <w:rPr>
                <w:rFonts w:ascii="仿宋_GB2312" w:hAnsi="仿宋_GB2312" w:cs="仿宋_GB2312" w:eastAsia="仿宋_GB2312"/>
              </w:rPr>
              <w:t>磋商响应文件内容齐全、无遗漏</w:t>
            </w:r>
          </w:p>
        </w:tc>
        <w:tc>
          <w:tcPr>
            <w:tcW w:type="dxa" w:w="1661"/>
          </w:tcPr>
          <w:p>
            <w:pPr>
              <w:pStyle w:val="null3"/>
            </w:pPr>
            <w:r>
              <w:rPr>
                <w:rFonts w:ascii="仿宋_GB2312" w:hAnsi="仿宋_GB2312" w:cs="仿宋_GB2312" w:eastAsia="仿宋_GB2312"/>
              </w:rPr>
              <w:t>响应文件封面 技术方案.docx 已标价工程量清单.docx 中小企业声明函 残疾人福利性单位声明函 拒绝政府采购领域商业贿赂承诺书.docx 报价函 标的清单 响应函 商务条款偏离表.docx 资格证明文件.docx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响应文件封面 技术方案.docx 已标价工程量清单.docx 中小企业声明函 残疾人福利性单位声明函 拒绝政府采购领域商业贿赂承诺书.docx 报价函 标的清单 响应函 商务条款偏离表.docx 资格证明文件.docx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只能有一个有效报价，不得提交选择性报价，且报价不超过最高限价。</w:t>
            </w:r>
          </w:p>
        </w:tc>
        <w:tc>
          <w:tcPr>
            <w:tcW w:type="dxa" w:w="1661"/>
          </w:tcPr>
          <w:p>
            <w:pPr>
              <w:pStyle w:val="null3"/>
            </w:pPr>
            <w:r>
              <w:rPr>
                <w:rFonts w:ascii="仿宋_GB2312" w:hAnsi="仿宋_GB2312" w:cs="仿宋_GB2312" w:eastAsia="仿宋_GB2312"/>
              </w:rPr>
              <w:t>商务条款偏离表.docx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应符合磋商文件的要求</w:t>
            </w:r>
          </w:p>
        </w:tc>
        <w:tc>
          <w:tcPr>
            <w:tcW w:type="dxa" w:w="1661"/>
          </w:tcPr>
          <w:p>
            <w:pPr>
              <w:pStyle w:val="null3"/>
            </w:pPr>
            <w:r>
              <w:rPr>
                <w:rFonts w:ascii="仿宋_GB2312" w:hAnsi="仿宋_GB2312" w:cs="仿宋_GB2312" w:eastAsia="仿宋_GB2312"/>
              </w:rPr>
              <w:t>商务条款偏离表.docx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质量标准</w:t>
            </w:r>
          </w:p>
        </w:tc>
        <w:tc>
          <w:tcPr>
            <w:tcW w:type="dxa" w:w="3322"/>
          </w:tcPr>
          <w:p>
            <w:pPr>
              <w:pStyle w:val="null3"/>
            </w:pPr>
            <w:r>
              <w:rPr>
                <w:rFonts w:ascii="仿宋_GB2312" w:hAnsi="仿宋_GB2312" w:cs="仿宋_GB2312" w:eastAsia="仿宋_GB2312"/>
              </w:rPr>
              <w:t>应符合磋商文件的要求</w:t>
            </w:r>
          </w:p>
        </w:tc>
        <w:tc>
          <w:tcPr>
            <w:tcW w:type="dxa" w:w="1661"/>
          </w:tcPr>
          <w:p>
            <w:pPr>
              <w:pStyle w:val="null3"/>
            </w:pPr>
            <w:r>
              <w:rPr>
                <w:rFonts w:ascii="仿宋_GB2312" w:hAnsi="仿宋_GB2312" w:cs="仿宋_GB2312" w:eastAsia="仿宋_GB2312"/>
              </w:rPr>
              <w:t>商务条款偏离表.docx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应符合磋商文件的要求</w:t>
            </w:r>
          </w:p>
        </w:tc>
        <w:tc>
          <w:tcPr>
            <w:tcW w:type="dxa" w:w="1661"/>
          </w:tcPr>
          <w:p>
            <w:pPr>
              <w:pStyle w:val="null3"/>
            </w:pPr>
            <w:r>
              <w:rPr>
                <w:rFonts w:ascii="仿宋_GB2312" w:hAnsi="仿宋_GB2312" w:cs="仿宋_GB2312" w:eastAsia="仿宋_GB2312"/>
              </w:rPr>
              <w:t>商务条款偏离表.docx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缺陷责任期</w:t>
            </w:r>
          </w:p>
        </w:tc>
        <w:tc>
          <w:tcPr>
            <w:tcW w:type="dxa" w:w="3322"/>
          </w:tcPr>
          <w:p>
            <w:pPr>
              <w:pStyle w:val="null3"/>
            </w:pPr>
            <w:r>
              <w:rPr>
                <w:rFonts w:ascii="仿宋_GB2312" w:hAnsi="仿宋_GB2312" w:cs="仿宋_GB2312" w:eastAsia="仿宋_GB2312"/>
              </w:rPr>
              <w:t>应符合磋商文件的要求</w:t>
            </w:r>
          </w:p>
        </w:tc>
        <w:tc>
          <w:tcPr>
            <w:tcW w:type="dxa" w:w="1661"/>
          </w:tcPr>
          <w:p>
            <w:pPr>
              <w:pStyle w:val="null3"/>
            </w:pPr>
            <w:r>
              <w:rPr>
                <w:rFonts w:ascii="仿宋_GB2312" w:hAnsi="仿宋_GB2312" w:cs="仿宋_GB2312" w:eastAsia="仿宋_GB2312"/>
              </w:rPr>
              <w:t>商务条款偏离表.docx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应符合磋商文件的要求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已标价工程量清单</w:t>
            </w:r>
          </w:p>
        </w:tc>
        <w:tc>
          <w:tcPr>
            <w:tcW w:type="dxa" w:w="3322"/>
          </w:tcPr>
          <w:p>
            <w:pPr>
              <w:pStyle w:val="null3"/>
            </w:pPr>
            <w:r>
              <w:rPr>
                <w:rFonts w:ascii="仿宋_GB2312" w:hAnsi="仿宋_GB2312" w:cs="仿宋_GB2312" w:eastAsia="仿宋_GB2312"/>
              </w:rPr>
              <w:t>应符合磋商文件给出的工程量清单范围和数量</w:t>
            </w:r>
          </w:p>
        </w:tc>
        <w:tc>
          <w:tcPr>
            <w:tcW w:type="dxa" w:w="1661"/>
          </w:tcPr>
          <w:p>
            <w:pPr>
              <w:pStyle w:val="null3"/>
            </w:pPr>
            <w:r>
              <w:rPr>
                <w:rFonts w:ascii="仿宋_GB2312" w:hAnsi="仿宋_GB2312" w:cs="仿宋_GB2312" w:eastAsia="仿宋_GB2312"/>
              </w:rPr>
              <w:t>已标价工程量清单.docx</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一、评审标准 1、完整性：须全面，对评审项有详细描述及说明；2、合理性：切合本项目实际情况，实施步骤清晰、合理； 3、针对性：能够紧扣项目实际情况，内容科学合理。 二、赋分标准 技术方案内容完全满足所有评审标准得7分；技术方案内容每有一处缺陷扣0.5分，扣完为止，不计负分；其他或未提供得0分。 缺陷是指: 内容与项目特点不匹配、凭空编造、逻辑漏洞、常识性错误、语句不通顺有歧义、不可能实现的夸大情形、或出现与本项目不符合的方案等其中的任意一种情形。</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一、评审标准 1、完整性：须全面，对评审项有详细描述及说明； 2、合理性：切合本项目实际情况，实施步骤清晰、合理； 3、针对性：能够紧扣项目实际情况，内容科学合理。 二、赋分标准 技术方案内容完全满足所有评审标准得7分；技术方案内容每有一处缺陷扣0.5分，扣完为止，不计负分；其他或未提供得0分。 缺陷是指: 内容与项目特点不匹配、凭空编造、逻辑漏洞、常识性错误、语句不通顺有歧义、不可能实现的夸大情形、或出现与本项目不符合的方案等其中的任意一种情形。</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一、评审标准 1、完整性：须全面，对评审项有详细描述及说明； 2、合理性：切合本项目实际情况，实施步骤清晰、合理； 3、针对性：能够紧扣项目实际情况，内容科学合理。 二、赋分标准 技术方案内容完全满足所有评审标准得7分；技术方案内容每有一处缺陷扣0.5分，扣完为止，不计负分；其他或未提供得0分。 缺陷是指: 内容与项目特点不匹配、凭空编造、逻辑漏洞、常识性错误、语句不通顺有歧义、不可能实现的夸大情形、或出现与本项目不符合的方案等其中的任意一种情形。</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确保文明施工的技术组织措施及保护措施</w:t>
            </w:r>
          </w:p>
        </w:tc>
        <w:tc>
          <w:tcPr>
            <w:tcW w:type="dxa" w:w="2492"/>
          </w:tcPr>
          <w:p>
            <w:pPr>
              <w:pStyle w:val="null3"/>
            </w:pPr>
            <w:r>
              <w:rPr>
                <w:rFonts w:ascii="仿宋_GB2312" w:hAnsi="仿宋_GB2312" w:cs="仿宋_GB2312" w:eastAsia="仿宋_GB2312"/>
              </w:rPr>
              <w:t>一、评审标准 1、完整性：须全面，对评审项有详细描述及说明； 2、合理性：切合本项目实际情况，实施步骤清晰、合理； 3、针对性：能够紧扣项目实际情况，内容科学合理。 二、赋分标准 技术方案内容完全满足所有评审标准得7分；技术方案内容每有一处缺陷扣0.5分，扣完为止，不计负分；其他或未提供得0分。 缺陷是指: 内容与项目特点不匹配、凭空编造、逻辑漏洞、常识性错误、语句不通顺有歧义、不可能实现的夸大情形、或出现与本项目不符合的方案等其中的任意一种情形。</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施工总平面布置图</w:t>
            </w:r>
          </w:p>
        </w:tc>
        <w:tc>
          <w:tcPr>
            <w:tcW w:type="dxa" w:w="2492"/>
          </w:tcPr>
          <w:p>
            <w:pPr>
              <w:pStyle w:val="null3"/>
            </w:pPr>
            <w:r>
              <w:rPr>
                <w:rFonts w:ascii="仿宋_GB2312" w:hAnsi="仿宋_GB2312" w:cs="仿宋_GB2312" w:eastAsia="仿宋_GB2312"/>
              </w:rPr>
              <w:t>一、评审标准 1、完整性：须全面，对评审项有详细描述及说明； 2、合理性：切合本项目实际情况，实施步骤清晰、合理； 3、针对性：能够紧扣项目实际情况，内容科学合理。 二、赋分标准 技术方案内容完全满足所有评审标准得7分；技术方案内容每有一处缺陷扣0.5分，扣完为止，不计负分；其他或未提供得0分。 缺陷是指: 内容与项目特点不匹配、凭空编造、逻辑漏洞、常识性错误、语句不通顺有歧义、不可能实现的夸大情形、或出现与本项目不符合的方案等其中的任意一种情形。</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施工进度表或施工网络图</w:t>
            </w:r>
          </w:p>
        </w:tc>
        <w:tc>
          <w:tcPr>
            <w:tcW w:type="dxa" w:w="2492"/>
          </w:tcPr>
          <w:p>
            <w:pPr>
              <w:pStyle w:val="null3"/>
            </w:pPr>
            <w:r>
              <w:rPr>
                <w:rFonts w:ascii="仿宋_GB2312" w:hAnsi="仿宋_GB2312" w:cs="仿宋_GB2312" w:eastAsia="仿宋_GB2312"/>
              </w:rPr>
              <w:t>一、评审标准 1、完整性：须全面，对评审项有详细描述及说明； 2、合理性：切合本项目实际情况，实施步骤清晰、合理； 3、针对性：能够紧扣项目实际情况，内容科学合理。 二、赋分标准 技术方案内容完全满足所有评审标准得7分；技术方案内容每有一处缺陷扣0.5分，扣完为止，不计负分；其他或未提供得0分。 缺陷是指: 内容与项目特点不匹配、凭空编造、逻辑漏洞、常识性错误、语句不通顺有歧义、不可能实现的夸大情形、或出现与本项目不符合的方案等其中的任意一种情形。</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确保安全生产的技术组织措施</w:t>
            </w:r>
          </w:p>
        </w:tc>
        <w:tc>
          <w:tcPr>
            <w:tcW w:type="dxa" w:w="2492"/>
          </w:tcPr>
          <w:p>
            <w:pPr>
              <w:pStyle w:val="null3"/>
            </w:pPr>
            <w:r>
              <w:rPr>
                <w:rFonts w:ascii="仿宋_GB2312" w:hAnsi="仿宋_GB2312" w:cs="仿宋_GB2312" w:eastAsia="仿宋_GB2312"/>
              </w:rPr>
              <w:t>一、评审标准 1、完整性：须全面，对评审项有详细描述及说明； 2、合理性：切合本项目实际情况，实施步骤清晰、合理； 3、针对性：能够紧扣项目实际情况，内容科学合理。 二、赋分标准 技术方案内容完全满足所有评审标准得7分；技术方案内容每有一处缺陷扣0.5分，扣完为止，不计负分；其他或未提供得0分。 缺陷是指: 内容与项目特点不匹配、凭空编造、逻辑漏洞、常识性错误、语句不通顺有歧义、不可能实现的夸大情形、或出现与本项目不符合的方案等其中的任意一种情形。</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施工机械配备和材料投入计划包括但不限于新材料、新工艺、绿色建材的使用</w:t>
            </w:r>
          </w:p>
        </w:tc>
        <w:tc>
          <w:tcPr>
            <w:tcW w:type="dxa" w:w="2492"/>
          </w:tcPr>
          <w:p>
            <w:pPr>
              <w:pStyle w:val="null3"/>
            </w:pPr>
            <w:r>
              <w:rPr>
                <w:rFonts w:ascii="仿宋_GB2312" w:hAnsi="仿宋_GB2312" w:cs="仿宋_GB2312" w:eastAsia="仿宋_GB2312"/>
              </w:rPr>
              <w:t>一、评审标准 1、完整性：须全面，对评审项有详细描述及说明； 2、合理性：切合本项目实际情况，实施步骤清晰、合理； 3、针对性：能够紧扣项目实际情况，内容科学合理。 二、赋分标准 技术方案内容完全满足所有评审标准得7分；技术方案内容每有一处缺陷扣0.5分，扣完为止，不计负分；其他或未提供得0分。 缺陷是指: 内容与项目特点不匹配、凭空编造、逻辑漏洞、常识性错误、语句不通顺有歧义、不可能实现的夸大情形、或出现与本项目不符合的方案等其中的任意一种情形。</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劳动力安排计划</w:t>
            </w:r>
          </w:p>
        </w:tc>
        <w:tc>
          <w:tcPr>
            <w:tcW w:type="dxa" w:w="2492"/>
          </w:tcPr>
          <w:p>
            <w:pPr>
              <w:pStyle w:val="null3"/>
            </w:pPr>
            <w:r>
              <w:rPr>
                <w:rFonts w:ascii="仿宋_GB2312" w:hAnsi="仿宋_GB2312" w:cs="仿宋_GB2312" w:eastAsia="仿宋_GB2312"/>
              </w:rPr>
              <w:t>一、评审标准 1、完整性：须全面，对评审项有详细描述及说明； 2、合理性：切合本项目实际情况，实施步骤清晰、合理； 3、针对性：能够紧扣项目实际情况，内容科学合理。 二、赋分标准 技术方案内容完全满足所有评审标准得7分；技术方案内容每有一处缺陷扣0.5分，扣完为止，不计负分；其他或未提供得0分。 缺陷是指: 内容与项目特点不匹配、凭空编造、逻辑漏洞、常识性错误、语句不通顺有歧义、不可能实现的夸大情形、或出现与本项目不符合的方案等其中的任意一种情形。</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施工环保、“治污减霾”措施计划</w:t>
            </w:r>
          </w:p>
        </w:tc>
        <w:tc>
          <w:tcPr>
            <w:tcW w:type="dxa" w:w="2492"/>
          </w:tcPr>
          <w:p>
            <w:pPr>
              <w:pStyle w:val="null3"/>
            </w:pPr>
            <w:r>
              <w:rPr>
                <w:rFonts w:ascii="仿宋_GB2312" w:hAnsi="仿宋_GB2312" w:cs="仿宋_GB2312" w:eastAsia="仿宋_GB2312"/>
              </w:rPr>
              <w:t>一、评审标准 1、完整性：须全面，对评审项有详细描述及说明； 2、合理性：切合本项目实际情况，实施步骤清晰、合理； 3、针对性：能够紧扣项目实际情况，内容科学合理。 二、赋分标准 技术方案内容完全满足所有评审标准得7分；技术方案内容每有一处缺陷扣0.5分，扣完为止，不计负分；其他或未提供得0分。 缺陷是指: 内容与项目特点不匹配、凭空编造、逻辑漏洞、常识性错误、语句不通顺有歧义、不可能实现的夸大情形、或出现与本项目不符合的方案等其中的任意一种情形。</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资格审查、符合性审查合格的磋商响应文件，其最后磋商报价为有效磋商报价，满足磋商文件要求且磋商价格最低的最后磋商报价为评标基准价,其价格分为满分。价格分按照下列公式计算。磋商报价得分=（评标基准价/最后磋商报价）×价格分值</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详见附件：拒绝政府采购领域商业贿赂承诺书.docx</w:t>
      </w:r>
    </w:p>
    <w:p>
      <w:pPr>
        <w:pStyle w:val="null3"/>
        <w:ind w:firstLine="960"/>
      </w:pPr>
      <w:r>
        <w:rPr>
          <w:rFonts w:ascii="仿宋_GB2312" w:hAnsi="仿宋_GB2312" w:cs="仿宋_GB2312" w:eastAsia="仿宋_GB2312"/>
        </w:rPr>
        <w:t>详见附件：商务条款偏离表.docx</w:t>
      </w:r>
    </w:p>
    <w:p>
      <w:pPr>
        <w:pStyle w:val="null3"/>
        <w:ind w:firstLine="960"/>
      </w:pPr>
      <w:r>
        <w:rPr>
          <w:rFonts w:ascii="仿宋_GB2312" w:hAnsi="仿宋_GB2312" w:cs="仿宋_GB2312" w:eastAsia="仿宋_GB2312"/>
        </w:rPr>
        <w:t>详见附件：已标价工程量清单.docx</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详见附件：施工合同.docx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