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B9CCE3">
      <w:pPr>
        <w:spacing w:line="900" w:lineRule="exact"/>
        <w:jc w:val="center"/>
        <w:rPr>
          <w:b/>
          <w:sz w:val="44"/>
          <w:szCs w:val="44"/>
        </w:rPr>
      </w:pPr>
      <w:r>
        <w:rPr>
          <w:rFonts w:hint="eastAsia" w:cs="Times New Roman"/>
          <w:b/>
          <w:sz w:val="44"/>
          <w:szCs w:val="44"/>
          <w:lang w:eastAsia="zh-CN"/>
        </w:rPr>
        <w:t>采购</w:t>
      </w:r>
      <w:r>
        <w:rPr>
          <w:b/>
          <w:sz w:val="44"/>
          <w:szCs w:val="44"/>
        </w:rPr>
        <w:t>合同</w:t>
      </w:r>
    </w:p>
    <w:p w14:paraId="749E3DBC">
      <w:pPr>
        <w:spacing w:line="360" w:lineRule="auto"/>
        <w:jc w:val="center"/>
        <w:rPr>
          <w:kern w:val="0"/>
        </w:rPr>
      </w:pPr>
    </w:p>
    <w:p w14:paraId="58FADDCE">
      <w:pPr>
        <w:spacing w:line="360" w:lineRule="auto"/>
        <w:rPr>
          <w:kern w:val="0"/>
        </w:rPr>
      </w:pPr>
    </w:p>
    <w:p w14:paraId="4A985886">
      <w:pPr>
        <w:spacing w:line="360" w:lineRule="auto"/>
        <w:rPr>
          <w:kern w:val="0"/>
        </w:rPr>
      </w:pPr>
    </w:p>
    <w:p w14:paraId="40762949">
      <w:pPr>
        <w:spacing w:line="360" w:lineRule="auto"/>
        <w:rPr>
          <w:kern w:val="0"/>
        </w:rPr>
      </w:pPr>
    </w:p>
    <w:p w14:paraId="3F1EB59C">
      <w:pPr>
        <w:spacing w:line="360" w:lineRule="auto"/>
        <w:rPr>
          <w:kern w:val="0"/>
        </w:rPr>
      </w:pPr>
    </w:p>
    <w:p w14:paraId="5B90E403">
      <w:pPr>
        <w:spacing w:line="360" w:lineRule="auto"/>
        <w:rPr>
          <w:kern w:val="0"/>
        </w:rPr>
      </w:pPr>
    </w:p>
    <w:p w14:paraId="32EDC8AC">
      <w:pPr>
        <w:spacing w:line="360" w:lineRule="auto"/>
        <w:rPr>
          <w:b/>
          <w:bCs/>
          <w:kern w:val="0"/>
        </w:rPr>
      </w:pPr>
    </w:p>
    <w:p w14:paraId="63688938">
      <w:pPr>
        <w:spacing w:line="360" w:lineRule="auto"/>
        <w:rPr>
          <w:b/>
          <w:bCs/>
          <w:kern w:val="0"/>
        </w:rPr>
      </w:pPr>
    </w:p>
    <w:p w14:paraId="61E771BE">
      <w:pPr>
        <w:spacing w:line="360" w:lineRule="auto"/>
        <w:jc w:val="left"/>
        <w:rPr>
          <w:b/>
          <w:bCs/>
          <w:kern w:val="0"/>
        </w:rPr>
      </w:pPr>
    </w:p>
    <w:p w14:paraId="5AAC2276">
      <w:pPr>
        <w:spacing w:line="360" w:lineRule="auto"/>
        <w:jc w:val="left"/>
        <w:rPr>
          <w:sz w:val="28"/>
          <w:szCs w:val="28"/>
        </w:rPr>
      </w:pPr>
    </w:p>
    <w:p w14:paraId="5A66E040">
      <w:pPr>
        <w:spacing w:line="360" w:lineRule="auto"/>
        <w:ind w:firstLine="560" w:firstLineChars="200"/>
        <w:jc w:val="left"/>
        <w:rPr>
          <w:sz w:val="28"/>
          <w:szCs w:val="28"/>
        </w:rPr>
      </w:pPr>
    </w:p>
    <w:p w14:paraId="70450EB6">
      <w:pPr>
        <w:spacing w:line="360" w:lineRule="auto"/>
        <w:ind w:firstLine="560" w:firstLineChars="200"/>
        <w:jc w:val="left"/>
        <w:rPr>
          <w:sz w:val="28"/>
          <w:szCs w:val="28"/>
        </w:rPr>
      </w:pPr>
      <w:r>
        <w:rPr>
          <w:sz w:val="28"/>
          <w:szCs w:val="28"/>
        </w:rPr>
        <w:t>项目名称:</w:t>
      </w:r>
    </w:p>
    <w:p w14:paraId="60CA3EE6">
      <w:pPr>
        <w:spacing w:line="360" w:lineRule="auto"/>
        <w:ind w:firstLine="560" w:firstLineChars="200"/>
        <w:jc w:val="left"/>
        <w:rPr>
          <w:sz w:val="28"/>
          <w:szCs w:val="28"/>
        </w:rPr>
      </w:pPr>
      <w:r>
        <w:rPr>
          <w:sz w:val="28"/>
          <w:szCs w:val="28"/>
        </w:rPr>
        <w:t>委托方(甲方):</w:t>
      </w:r>
    </w:p>
    <w:p w14:paraId="7AD13F54">
      <w:pPr>
        <w:spacing w:line="360" w:lineRule="auto"/>
        <w:ind w:firstLine="560" w:firstLineChars="200"/>
        <w:jc w:val="left"/>
        <w:rPr>
          <w:sz w:val="28"/>
          <w:szCs w:val="28"/>
        </w:rPr>
      </w:pPr>
      <w:r>
        <w:rPr>
          <w:sz w:val="28"/>
          <w:szCs w:val="28"/>
        </w:rPr>
        <w:t>受托方(乙方):</w:t>
      </w:r>
    </w:p>
    <w:p w14:paraId="2E86700A">
      <w:pPr>
        <w:spacing w:line="360" w:lineRule="auto"/>
        <w:jc w:val="left"/>
        <w:rPr>
          <w:kern w:val="0"/>
        </w:rPr>
      </w:pPr>
    </w:p>
    <w:p w14:paraId="6F1F933B">
      <w:pPr>
        <w:spacing w:line="360" w:lineRule="auto"/>
        <w:jc w:val="center"/>
        <w:rPr>
          <w:kern w:val="0"/>
          <w:sz w:val="28"/>
          <w:szCs w:val="28"/>
        </w:rPr>
      </w:pPr>
      <w:r>
        <w:rPr>
          <w:kern w:val="0"/>
          <w:sz w:val="28"/>
          <w:szCs w:val="28"/>
        </w:rPr>
        <w:t>二〇</w:t>
      </w:r>
      <w:r>
        <w:rPr>
          <w:rFonts w:hint="eastAsia"/>
          <w:kern w:val="0"/>
          <w:sz w:val="28"/>
          <w:szCs w:val="28"/>
        </w:rPr>
        <w:t>二</w:t>
      </w:r>
      <w:r>
        <w:rPr>
          <w:rFonts w:hint="eastAsia"/>
          <w:kern w:val="0"/>
          <w:sz w:val="28"/>
          <w:szCs w:val="28"/>
          <w:lang w:eastAsia="zh-CN"/>
        </w:rPr>
        <w:t>五</w:t>
      </w:r>
      <w:r>
        <w:rPr>
          <w:kern w:val="0"/>
          <w:sz w:val="28"/>
          <w:szCs w:val="28"/>
        </w:rPr>
        <w:t>年</w:t>
      </w:r>
      <w:r>
        <w:rPr>
          <w:rFonts w:hint="eastAsia"/>
          <w:kern w:val="0"/>
          <w:sz w:val="28"/>
          <w:szCs w:val="28"/>
          <w:lang w:val="en-US" w:eastAsia="zh-CN"/>
        </w:rPr>
        <w:t xml:space="preserve">  </w:t>
      </w:r>
      <w:r>
        <w:rPr>
          <w:kern w:val="0"/>
          <w:sz w:val="28"/>
          <w:szCs w:val="28"/>
        </w:rPr>
        <w:t>月</w:t>
      </w:r>
    </w:p>
    <w:p w14:paraId="2DBEC429">
      <w:pPr>
        <w:spacing w:line="360" w:lineRule="auto"/>
        <w:jc w:val="center"/>
        <w:rPr>
          <w:kern w:val="0"/>
          <w:sz w:val="28"/>
          <w:szCs w:val="28"/>
        </w:rPr>
        <w:sectPr>
          <w:pgSz w:w="11906" w:h="16838"/>
          <w:pgMar w:top="1440" w:right="1800" w:bottom="1440" w:left="1800" w:header="851" w:footer="992" w:gutter="0"/>
          <w:pgNumType w:fmt="decimal"/>
          <w:cols w:space="720" w:num="1"/>
          <w:docGrid w:type="lines" w:linePitch="312" w:charSpace="0"/>
        </w:sectPr>
      </w:pPr>
    </w:p>
    <w:p w14:paraId="2220348A">
      <w:pPr>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采购人（全称）：</w:t>
      </w:r>
    </w:p>
    <w:p w14:paraId="42DEFFA4">
      <w:pPr>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使用学校（全称）：    </w:t>
      </w:r>
    </w:p>
    <w:p w14:paraId="4EC738C8">
      <w:pPr>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供应商（全称）： </w:t>
      </w:r>
      <w:r>
        <w:rPr>
          <w:rFonts w:hint="eastAsia" w:ascii="宋体" w:hAnsi="宋体" w:eastAsia="宋体" w:cs="宋体"/>
          <w:sz w:val="24"/>
          <w:szCs w:val="24"/>
          <w:highlight w:val="none"/>
        </w:rPr>
        <w:t xml:space="preserve">                          </w:t>
      </w:r>
      <w:r>
        <w:rPr>
          <w:rFonts w:hint="eastAsia" w:ascii="宋体" w:hAnsi="宋体" w:eastAsia="宋体" w:cs="宋体"/>
          <w:bCs/>
          <w:sz w:val="24"/>
          <w:szCs w:val="24"/>
          <w:highlight w:val="none"/>
        </w:rPr>
        <w:t xml:space="preserve">         </w:t>
      </w:r>
    </w:p>
    <w:p w14:paraId="22B68BD5">
      <w:pPr>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w:t>
      </w:r>
      <w:r>
        <w:rPr>
          <w:rFonts w:hint="eastAsia" w:ascii="宋体" w:hAnsi="宋体" w:cs="宋体"/>
          <w:sz w:val="24"/>
          <w:szCs w:val="24"/>
          <w:highlight w:val="none"/>
          <w:lang w:eastAsia="zh-CN"/>
        </w:rPr>
        <w:t>民法典</w:t>
      </w:r>
      <w:r>
        <w:rPr>
          <w:rFonts w:hint="eastAsia" w:ascii="宋体" w:hAnsi="宋体" w:eastAsia="宋体" w:cs="宋体"/>
          <w:sz w:val="24"/>
          <w:szCs w:val="24"/>
          <w:highlight w:val="none"/>
        </w:rPr>
        <w:t>》及其他有关法律、法规，遵循平等、自愿、公平和诚信的原则，双方就下述项目范围与相关服务事项协商一致，订立本合同。</w:t>
      </w:r>
    </w:p>
    <w:p w14:paraId="0CC1A1D7">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rPr>
      </w:pPr>
      <w:bookmarkStart w:id="0" w:name="_Toc10694"/>
      <w:bookmarkStart w:id="1" w:name="_Toc521307606"/>
      <w:bookmarkStart w:id="2" w:name="_Toc12506"/>
      <w:r>
        <w:rPr>
          <w:rFonts w:hint="eastAsia" w:ascii="宋体" w:hAnsi="宋体" w:eastAsia="宋体" w:cs="宋体"/>
          <w:b/>
          <w:sz w:val="24"/>
          <w:szCs w:val="24"/>
          <w:highlight w:val="none"/>
          <w:lang w:val="zh-CN"/>
        </w:rPr>
        <w:t>一、项目概况</w:t>
      </w:r>
      <w:bookmarkEnd w:id="0"/>
      <w:bookmarkEnd w:id="1"/>
      <w:bookmarkEnd w:id="2"/>
    </w:p>
    <w:p w14:paraId="03076972">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 项目名称：                        </w:t>
      </w:r>
    </w:p>
    <w:p w14:paraId="640944CD">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 项目地点：                         </w:t>
      </w:r>
    </w:p>
    <w:p w14:paraId="58BD0AD4">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3. 项目内容：                         </w:t>
      </w:r>
      <w:r>
        <w:rPr>
          <w:rFonts w:hint="eastAsia" w:ascii="宋体" w:hAnsi="宋体" w:cs="宋体"/>
          <w:sz w:val="24"/>
          <w:szCs w:val="24"/>
          <w:highlight w:val="none"/>
          <w:lang w:val="en-US" w:eastAsia="zh-CN"/>
        </w:rPr>
        <w:t xml:space="preserve"> </w:t>
      </w:r>
    </w:p>
    <w:p w14:paraId="724917DD">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pacing w:val="-8"/>
          <w:sz w:val="24"/>
          <w:szCs w:val="24"/>
          <w:highlight w:val="none"/>
        </w:rPr>
      </w:pPr>
      <w:r>
        <w:rPr>
          <w:rFonts w:hint="eastAsia" w:ascii="宋体" w:hAnsi="宋体" w:eastAsia="宋体" w:cs="宋体"/>
          <w:sz w:val="24"/>
          <w:szCs w:val="24"/>
          <w:highlight w:val="none"/>
        </w:rPr>
        <w:t>4．项目供货安装周期：</w:t>
      </w:r>
      <w:r>
        <w:rPr>
          <w:rFonts w:hint="eastAsia" w:ascii="宋体" w:hAnsi="宋体" w:eastAsia="宋体" w:cs="宋体"/>
          <w:spacing w:val="-8"/>
          <w:kern w:val="0"/>
          <w:sz w:val="24"/>
          <w:szCs w:val="24"/>
          <w:highlight w:val="none"/>
          <w:lang w:val="en-US" w:eastAsia="zh-CN"/>
        </w:rPr>
        <w:t>自合同签订生效之日起</w:t>
      </w:r>
      <w:r>
        <w:rPr>
          <w:rFonts w:hint="eastAsia" w:ascii="宋体" w:hAnsi="宋体" w:cs="宋体"/>
          <w:sz w:val="24"/>
          <w:szCs w:val="24"/>
          <w:highlight w:val="none"/>
          <w:lang w:val="en-US" w:eastAsia="zh-CN"/>
        </w:rPr>
        <w:t>15日历天完成供货安装及验收</w:t>
      </w:r>
      <w:r>
        <w:rPr>
          <w:rFonts w:hint="eastAsia" w:ascii="宋体" w:hAnsi="宋体" w:eastAsia="宋体" w:cs="宋体"/>
          <w:spacing w:val="-8"/>
          <w:kern w:val="0"/>
          <w:sz w:val="24"/>
          <w:szCs w:val="24"/>
          <w:highlight w:val="none"/>
          <w:lang w:eastAsia="zh-CN"/>
        </w:rPr>
        <w:t>。</w:t>
      </w:r>
      <w:r>
        <w:rPr>
          <w:rFonts w:hint="eastAsia" w:ascii="宋体" w:hAnsi="宋体" w:eastAsia="宋体" w:cs="宋体"/>
          <w:spacing w:val="-8"/>
          <w:sz w:val="24"/>
          <w:szCs w:val="24"/>
          <w:highlight w:val="none"/>
        </w:rPr>
        <w:t xml:space="preserve">                      </w:t>
      </w:r>
    </w:p>
    <w:p w14:paraId="61BDEA5D">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3" w:name="_Toc7235"/>
      <w:bookmarkStart w:id="4" w:name="_Toc521307607"/>
      <w:bookmarkStart w:id="5" w:name="_Toc18722"/>
      <w:r>
        <w:rPr>
          <w:rFonts w:hint="eastAsia" w:ascii="宋体" w:hAnsi="宋体" w:eastAsia="宋体" w:cs="宋体"/>
          <w:b/>
          <w:sz w:val="24"/>
          <w:szCs w:val="24"/>
          <w:highlight w:val="none"/>
          <w:lang w:val="zh-CN"/>
        </w:rPr>
        <w:t>二、合同清单及金额</w:t>
      </w:r>
      <w:bookmarkEnd w:id="3"/>
      <w:bookmarkEnd w:id="4"/>
      <w:bookmarkEnd w:id="5"/>
    </w:p>
    <w:tbl>
      <w:tblPr>
        <w:tblStyle w:val="3"/>
        <w:tblW w:w="85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815"/>
        <w:gridCol w:w="795"/>
        <w:gridCol w:w="780"/>
        <w:gridCol w:w="1440"/>
        <w:gridCol w:w="1375"/>
        <w:gridCol w:w="597"/>
      </w:tblGrid>
      <w:tr w14:paraId="4D6E4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04" w:type="dxa"/>
            <w:tcBorders>
              <w:top w:val="single" w:color="auto" w:sz="4" w:space="0"/>
              <w:left w:val="single" w:color="auto" w:sz="4" w:space="0"/>
              <w:bottom w:val="single" w:color="auto" w:sz="4" w:space="0"/>
              <w:right w:val="single" w:color="auto" w:sz="4" w:space="0"/>
            </w:tcBorders>
            <w:noWrap w:val="0"/>
            <w:vAlign w:val="center"/>
          </w:tcPr>
          <w:p w14:paraId="5FB8A0D0">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名称</w:t>
            </w:r>
          </w:p>
        </w:tc>
        <w:tc>
          <w:tcPr>
            <w:tcW w:w="1815" w:type="dxa"/>
            <w:tcBorders>
              <w:top w:val="single" w:color="auto" w:sz="4" w:space="0"/>
              <w:left w:val="single" w:color="auto" w:sz="4" w:space="0"/>
              <w:bottom w:val="single" w:color="auto" w:sz="4" w:space="0"/>
              <w:right w:val="single" w:color="auto" w:sz="4" w:space="0"/>
            </w:tcBorders>
            <w:noWrap w:val="0"/>
            <w:vAlign w:val="center"/>
          </w:tcPr>
          <w:p w14:paraId="0CB7EF2C">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品牌规格</w:t>
            </w:r>
          </w:p>
        </w:tc>
        <w:tc>
          <w:tcPr>
            <w:tcW w:w="795" w:type="dxa"/>
            <w:tcBorders>
              <w:top w:val="single" w:color="auto" w:sz="4" w:space="0"/>
              <w:left w:val="single" w:color="auto" w:sz="4" w:space="0"/>
              <w:bottom w:val="single" w:color="auto" w:sz="4" w:space="0"/>
              <w:right w:val="single" w:color="auto" w:sz="4" w:space="0"/>
            </w:tcBorders>
            <w:noWrap w:val="0"/>
            <w:vAlign w:val="center"/>
          </w:tcPr>
          <w:p w14:paraId="26BB0FD9">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2F178CA4">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BAAAEEA">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单价（元）</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2C14055F">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总价（元）</w:t>
            </w:r>
          </w:p>
        </w:tc>
        <w:tc>
          <w:tcPr>
            <w:tcW w:w="597" w:type="dxa"/>
            <w:tcBorders>
              <w:top w:val="single" w:color="auto" w:sz="4" w:space="0"/>
              <w:left w:val="single" w:color="auto" w:sz="4" w:space="0"/>
              <w:bottom w:val="single" w:color="auto" w:sz="4" w:space="0"/>
              <w:right w:val="single" w:color="auto" w:sz="4" w:space="0"/>
            </w:tcBorders>
            <w:noWrap w:val="0"/>
            <w:vAlign w:val="center"/>
          </w:tcPr>
          <w:p w14:paraId="4C7ED19D">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0B096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704" w:type="dxa"/>
            <w:tcBorders>
              <w:top w:val="single" w:color="auto" w:sz="4" w:space="0"/>
              <w:left w:val="single" w:color="auto" w:sz="4" w:space="0"/>
              <w:bottom w:val="single" w:color="auto" w:sz="4" w:space="0"/>
              <w:right w:val="single" w:color="auto" w:sz="4" w:space="0"/>
            </w:tcBorders>
            <w:noWrap w:val="0"/>
            <w:vAlign w:val="center"/>
          </w:tcPr>
          <w:p w14:paraId="4D8DDB64">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p>
        </w:tc>
        <w:tc>
          <w:tcPr>
            <w:tcW w:w="1815" w:type="dxa"/>
            <w:tcBorders>
              <w:top w:val="single" w:color="auto" w:sz="4" w:space="0"/>
              <w:left w:val="single" w:color="auto" w:sz="4" w:space="0"/>
              <w:bottom w:val="single" w:color="auto" w:sz="4" w:space="0"/>
              <w:right w:val="single" w:color="auto" w:sz="4" w:space="0"/>
            </w:tcBorders>
            <w:noWrap w:val="0"/>
            <w:vAlign w:val="center"/>
          </w:tcPr>
          <w:p w14:paraId="081994F2">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p>
        </w:tc>
        <w:tc>
          <w:tcPr>
            <w:tcW w:w="795" w:type="dxa"/>
            <w:tcBorders>
              <w:top w:val="single" w:color="auto" w:sz="4" w:space="0"/>
              <w:left w:val="single" w:color="auto" w:sz="4" w:space="0"/>
              <w:bottom w:val="single" w:color="auto" w:sz="4" w:space="0"/>
              <w:right w:val="single" w:color="auto" w:sz="4" w:space="0"/>
            </w:tcBorders>
            <w:noWrap w:val="0"/>
            <w:vAlign w:val="center"/>
          </w:tcPr>
          <w:p w14:paraId="22F2CAAF">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0AA23D38">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6E8F3790">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1375" w:type="dxa"/>
            <w:tcBorders>
              <w:top w:val="single" w:color="auto" w:sz="4" w:space="0"/>
              <w:left w:val="single" w:color="auto" w:sz="4" w:space="0"/>
              <w:bottom w:val="single" w:color="auto" w:sz="4" w:space="0"/>
              <w:right w:val="single" w:color="auto" w:sz="4" w:space="0"/>
            </w:tcBorders>
            <w:noWrap w:val="0"/>
            <w:vAlign w:val="center"/>
          </w:tcPr>
          <w:p w14:paraId="2FF55BA9">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597" w:type="dxa"/>
            <w:tcBorders>
              <w:top w:val="single" w:color="auto" w:sz="4" w:space="0"/>
              <w:left w:val="single" w:color="auto" w:sz="4" w:space="0"/>
              <w:bottom w:val="single" w:color="auto" w:sz="4" w:space="0"/>
              <w:right w:val="single" w:color="auto" w:sz="4" w:space="0"/>
            </w:tcBorders>
            <w:noWrap w:val="0"/>
            <w:vAlign w:val="center"/>
          </w:tcPr>
          <w:p w14:paraId="2827C4C6">
            <w:pPr>
              <w:keepLines w:val="0"/>
              <w:pageBreakBefore w:val="0"/>
              <w:kinsoku/>
              <w:wordWrap/>
              <w:overflowPunct/>
              <w:topLinePunct w:val="0"/>
              <w:autoSpaceDE/>
              <w:autoSpaceDN/>
              <w:bidi w:val="0"/>
              <w:spacing w:line="360" w:lineRule="auto"/>
              <w:ind w:right="-99"/>
              <w:jc w:val="left"/>
              <w:textAlignment w:val="auto"/>
              <w:outlineLvl w:val="9"/>
              <w:rPr>
                <w:rFonts w:hint="eastAsia" w:ascii="宋体" w:hAnsi="宋体" w:eastAsia="宋体" w:cs="宋体"/>
                <w:sz w:val="24"/>
                <w:szCs w:val="24"/>
                <w:highlight w:val="none"/>
              </w:rPr>
            </w:pPr>
          </w:p>
        </w:tc>
      </w:tr>
      <w:tr w14:paraId="16BD7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704" w:type="dxa"/>
            <w:tcBorders>
              <w:top w:val="single" w:color="auto" w:sz="4" w:space="0"/>
              <w:left w:val="single" w:color="auto" w:sz="4" w:space="0"/>
              <w:bottom w:val="single" w:color="auto" w:sz="4" w:space="0"/>
              <w:right w:val="single" w:color="auto" w:sz="4" w:space="0"/>
            </w:tcBorders>
            <w:noWrap w:val="0"/>
            <w:vAlign w:val="center"/>
          </w:tcPr>
          <w:p w14:paraId="6926528A">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p>
        </w:tc>
        <w:tc>
          <w:tcPr>
            <w:tcW w:w="6802" w:type="dxa"/>
            <w:gridSpan w:val="6"/>
            <w:tcBorders>
              <w:top w:val="single" w:color="auto" w:sz="4" w:space="0"/>
              <w:left w:val="single" w:color="auto" w:sz="4" w:space="0"/>
              <w:bottom w:val="single" w:color="auto" w:sz="4" w:space="0"/>
              <w:right w:val="single" w:color="auto" w:sz="4" w:space="0"/>
            </w:tcBorders>
            <w:noWrap w:val="0"/>
            <w:vAlign w:val="center"/>
          </w:tcPr>
          <w:p w14:paraId="61C47CAD">
            <w:pPr>
              <w:keepLines w:val="0"/>
              <w:pageBreakBefore w:val="0"/>
              <w:widowControl/>
              <w:kinsoku/>
              <w:wordWrap/>
              <w:overflowPunct/>
              <w:topLinePunct w:val="0"/>
              <w:autoSpaceDE/>
              <w:autoSpaceDN/>
              <w:bidi w:val="0"/>
              <w:spacing w:line="360" w:lineRule="auto"/>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大写 ：     。￥     元</w:t>
            </w:r>
          </w:p>
        </w:tc>
      </w:tr>
    </w:tbl>
    <w:p w14:paraId="00E2BC71">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具体参数详见附件。</w:t>
      </w:r>
    </w:p>
    <w:p w14:paraId="0D3FED42">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6" w:name="_Toc16701"/>
      <w:bookmarkStart w:id="7" w:name="_Toc521307608"/>
      <w:bookmarkStart w:id="8" w:name="_Toc31808"/>
      <w:r>
        <w:rPr>
          <w:rFonts w:hint="eastAsia" w:ascii="宋体" w:hAnsi="宋体" w:eastAsia="宋体" w:cs="宋体"/>
          <w:b/>
          <w:sz w:val="24"/>
          <w:szCs w:val="24"/>
          <w:highlight w:val="none"/>
          <w:lang w:val="zh-CN"/>
        </w:rPr>
        <w:t>三、结算方式</w:t>
      </w:r>
      <w:bookmarkEnd w:id="6"/>
      <w:bookmarkEnd w:id="7"/>
      <w:bookmarkEnd w:id="8"/>
    </w:p>
    <w:p w14:paraId="323FBA31">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1.结算单位：银行转账，由采购人负责结算。在付款前，供应商必须开具与合同金额相应的发票给采购人，附详细清单。</w:t>
      </w:r>
    </w:p>
    <w:p w14:paraId="21432F5A">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2.付款方式：</w:t>
      </w:r>
    </w:p>
    <w:p w14:paraId="4EC50365">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货物全部运到采购人指定地方，安装、调试完毕并经终验合格后，乙方持《终验合格单》原件和全额发票在甲方处办理合同总金额的百分之百（100%）货款支付手续</w:t>
      </w:r>
      <w:r>
        <w:rPr>
          <w:rFonts w:hint="eastAsia" w:ascii="宋体" w:hAnsi="宋体" w:eastAsia="宋体" w:cs="宋体"/>
          <w:sz w:val="24"/>
          <w:szCs w:val="24"/>
          <w:highlight w:val="none"/>
          <w:lang w:eastAsia="zh-CN"/>
        </w:rPr>
        <w:t>。</w:t>
      </w:r>
    </w:p>
    <w:p w14:paraId="245F1F7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bookmarkStart w:id="9" w:name="_Toc21136"/>
      <w:bookmarkStart w:id="10" w:name="_Toc521307612"/>
      <w:bookmarkStart w:id="11" w:name="_Toc6803"/>
      <w:r>
        <w:rPr>
          <w:rFonts w:hint="eastAsia" w:ascii="宋体" w:hAnsi="宋体" w:eastAsia="宋体" w:cs="宋体"/>
          <w:sz w:val="24"/>
          <w:szCs w:val="24"/>
          <w:highlight w:val="none"/>
          <w:lang w:val="zh-CN"/>
        </w:rPr>
        <w:t>四 、付款进度要求：</w:t>
      </w:r>
    </w:p>
    <w:p w14:paraId="52080380">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1、供货、安装、调试、验收周期(工期):自合同签订生效之日起30日历日。</w:t>
      </w:r>
    </w:p>
    <w:p w14:paraId="4FEF9DA2">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2、验收合格后30个工作日内付合同总价款100%。</w:t>
      </w:r>
    </w:p>
    <w:p w14:paraId="47228446">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五 、售后服务要求：</w:t>
      </w:r>
    </w:p>
    <w:p w14:paraId="2CC939EE">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1、乙方对其所提供软硬件设备、材料等负责备品配件的供应，长期提供维修 服务，并提供技术咨询等服务。质保期内应无偿负责的维修和替换等工作。超出 质保期只收取维修所需原设备、材料成本费用。</w:t>
      </w:r>
    </w:p>
    <w:p w14:paraId="17A63103">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2、服务响应时限：7*24小时服务，提供售后服务电话(应具有：固定电话、 移动电话、传真)。</w:t>
      </w:r>
    </w:p>
    <w:p w14:paraId="73A8CB45">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3、派专人对学校提供售后服务，并每月定期对所提供的软硬件设备、材料 等进行巡检，做好巡检记录。</w:t>
      </w:r>
    </w:p>
    <w:p w14:paraId="131C3ED0">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p>
    <w:p w14:paraId="3F3FA794">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4、维修工作时间不大于24小时，更换工作时间不大于72小时。</w:t>
      </w:r>
    </w:p>
    <w:p w14:paraId="58FF50B3">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5、若乙方未按照合同规定的售后服务要求执行，甲方有权自行选择第三方 进行维护和修理，所产生的费用将由乙方承担。</w:t>
      </w:r>
    </w:p>
    <w:p w14:paraId="379A32F5">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5、乙方应无偿对学校指定人员在现场进行维护、使用说明的培训，使用甲 方够完成现场日常操作，技术人员能完成系统维护工作，并制作维护使用手册。</w:t>
      </w:r>
    </w:p>
    <w:p w14:paraId="0664663B">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6、在保修期内更换系统中部件(包括软件和硬件),其保修期应相应延长。</w:t>
      </w:r>
    </w:p>
    <w:p w14:paraId="2659311D">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7、质保期：3年</w:t>
      </w:r>
    </w:p>
    <w:p w14:paraId="433E7FAD">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六 、交货、验收要求：</w:t>
      </w:r>
    </w:p>
    <w:p w14:paraId="191DAA04">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1、硬件设备到达甲方指定地点后，组织现场开箱请点验货。所到设备的型 号和数量必须与合同一致，甲方和乙方共同签署到货验收单。未签收到货验收单 的货物不得擅自开箱安装。</w:t>
      </w:r>
    </w:p>
    <w:p w14:paraId="0C3ED8CD">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2、乙方保证合同所有设备是全新的(包括零部件),其规格参数及配件不低 于(符合)本项目招投标文件的要求。</w:t>
      </w:r>
    </w:p>
    <w:p w14:paraId="6BD82F0E">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3、安装完成，乙方进行自测并形成自测报告(软硬件),出现的问题限期整 改。自检最终通过后，乙方提出验收申请，甲方组织相关人员进行最终验收。</w:t>
      </w:r>
    </w:p>
    <w:p w14:paraId="18F73E5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4、设备采购从通过最终验收之日起进入保修期，提供原厂保修升级。</w:t>
      </w:r>
    </w:p>
    <w:p w14:paraId="67C97BF2">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七、技术支持</w:t>
      </w:r>
      <w:bookmarkEnd w:id="9"/>
      <w:bookmarkEnd w:id="10"/>
      <w:bookmarkEnd w:id="11"/>
    </w:p>
    <w:p w14:paraId="022E8CF1">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1、供应商应提供可承担维修职能的公司、全资分公司或办事处，并驻守多名维护技术人员，并提供地点、联系人（常驻工程师）及联系电话（服务热线），随时解答各种疑问。</w:t>
      </w:r>
    </w:p>
    <w:p w14:paraId="13DFE97E">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现场服务，质保期内维修费用含在合同总价中，提供终身维修（护）。在质量保证期内发生重大故障，维修工程师抵达现场时间≤48小时，3个工作日内无法恢复的故障提供免费更换服务。产品实行“三包”，并承担由此产生的包装、运输等的一切费用。</w:t>
      </w:r>
    </w:p>
    <w:p w14:paraId="4414490F">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3、质保期内每年至少四次免费上门维护，回访。</w:t>
      </w:r>
    </w:p>
    <w:p w14:paraId="7C888410">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4、对于存在质量问题或者短少的产品，供应商应在接到采购人的通知2个日历日内负责修复，调换、重新制作或补齐。</w:t>
      </w:r>
    </w:p>
    <w:p w14:paraId="664A189B">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提供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1CC9585E">
      <w:pPr>
        <w:keepLines w:val="0"/>
        <w:pageBreakBefore w:val="0"/>
        <w:tabs>
          <w:tab w:val="left" w:pos="840"/>
        </w:tabs>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6、供应商在项目实施过程中，质量保障人员、资源不足或者执行不力，给项目质量带来的风险超出采购人认定的允许范围时，采购人可终止本项目的合作并进行索赔。</w:t>
      </w:r>
    </w:p>
    <w:p w14:paraId="3B8CF646">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12" w:name="_Toc17330"/>
      <w:bookmarkStart w:id="13" w:name="_Toc17313"/>
      <w:bookmarkStart w:id="14" w:name="_Toc521307613"/>
      <w:r>
        <w:rPr>
          <w:rFonts w:hint="eastAsia" w:ascii="宋体" w:hAnsi="宋体" w:eastAsia="宋体" w:cs="宋体"/>
          <w:b/>
          <w:sz w:val="24"/>
          <w:szCs w:val="24"/>
          <w:highlight w:val="none"/>
          <w:lang w:val="zh-CN"/>
        </w:rPr>
        <w:t>八、技术培训</w:t>
      </w:r>
      <w:bookmarkEnd w:id="12"/>
      <w:bookmarkEnd w:id="13"/>
      <w:bookmarkEnd w:id="14"/>
    </w:p>
    <w:p w14:paraId="0144D746">
      <w:pPr>
        <w:keepLines w:val="0"/>
        <w:pageBreakBefore w:val="0"/>
        <w:kinsoku/>
        <w:wordWrap/>
        <w:overflowPunct/>
        <w:topLinePunct w:val="0"/>
        <w:autoSpaceDE/>
        <w:autoSpaceDN/>
        <w:bidi w:val="0"/>
        <w:snapToGrid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1、供应商应告知采购人产品的使用、维护、保养等有关注意事项，并根据招磋商响应文件要求对采购人人员进行培训，培训费用由供应商承担。</w:t>
      </w:r>
    </w:p>
    <w:p w14:paraId="7F1511E5">
      <w:pPr>
        <w:keepLines w:val="0"/>
        <w:pageBreakBefore w:val="0"/>
        <w:tabs>
          <w:tab w:val="left" w:pos="420"/>
        </w:tabs>
        <w:kinsoku/>
        <w:wordWrap/>
        <w:overflowPunct/>
        <w:topLinePunct w:val="0"/>
        <w:autoSpaceDE/>
        <w:autoSpaceDN/>
        <w:bidi w:val="0"/>
        <w:spacing w:line="360" w:lineRule="auto"/>
        <w:ind w:firstLine="42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2、在产品正常使用寿命内发生的任何产品质量问题，供应商应当于接到采购人通知后4小时内赶到现场，并及时予以解决。</w:t>
      </w:r>
    </w:p>
    <w:p w14:paraId="303ABB73">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供应商应向采购人提供全套中文技术资料一套，其费用包括在投标价格中：</w:t>
      </w:r>
    </w:p>
    <w:p w14:paraId="51BB2227">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3.1</w:t>
      </w:r>
      <w:r>
        <w:rPr>
          <w:rFonts w:hint="eastAsia" w:ascii="宋体" w:hAnsi="宋体" w:eastAsia="宋体" w:cs="宋体"/>
          <w:sz w:val="24"/>
          <w:szCs w:val="24"/>
          <w:highlight w:val="none"/>
        </w:rPr>
        <w:t>、完整的产品操作使用手册、说明书和维护、修理技术文件，图纸、保修卡等；</w:t>
      </w:r>
    </w:p>
    <w:p w14:paraId="32E71C2F">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2、制造厂的检验、测试报告、产品检验合格证书，质量保证书等文件验收时须一并提供；</w:t>
      </w:r>
    </w:p>
    <w:p w14:paraId="69E5FFBF">
      <w:pPr>
        <w:keepLines w:val="0"/>
        <w:pageBreakBefore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3、产品验收标准；</w:t>
      </w:r>
    </w:p>
    <w:p w14:paraId="1B0F7531">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4、技术说明书及必须的其它技术资料；</w:t>
      </w:r>
    </w:p>
    <w:p w14:paraId="4956D5BA">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5、产品安装，调试、及原理图；</w:t>
      </w:r>
    </w:p>
    <w:p w14:paraId="00379D00">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6、零部件目录；</w:t>
      </w:r>
    </w:p>
    <w:p w14:paraId="39DC9665">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7、备品备件、易损件清单；</w:t>
      </w:r>
    </w:p>
    <w:p w14:paraId="0D445D7F">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8、整体验收后提供验收报告；</w:t>
      </w:r>
    </w:p>
    <w:p w14:paraId="1A7AE6F4">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15" w:name="_Toc5062"/>
      <w:bookmarkStart w:id="16" w:name="_Toc20040"/>
      <w:bookmarkStart w:id="17" w:name="_Toc521307615"/>
      <w:r>
        <w:rPr>
          <w:rFonts w:hint="eastAsia" w:ascii="宋体" w:hAnsi="宋体" w:cs="宋体"/>
          <w:b/>
          <w:sz w:val="24"/>
          <w:szCs w:val="24"/>
          <w:highlight w:val="none"/>
          <w:lang w:val="zh-CN"/>
        </w:rPr>
        <w:t>九</w:t>
      </w:r>
      <w:r>
        <w:rPr>
          <w:rFonts w:hint="eastAsia" w:ascii="宋体" w:hAnsi="宋体" w:eastAsia="宋体" w:cs="宋体"/>
          <w:b/>
          <w:sz w:val="24"/>
          <w:szCs w:val="24"/>
          <w:highlight w:val="none"/>
          <w:lang w:val="zh-CN"/>
        </w:rPr>
        <w:t>、质量保证</w:t>
      </w:r>
      <w:bookmarkEnd w:id="15"/>
      <w:bookmarkEnd w:id="16"/>
      <w:bookmarkEnd w:id="17"/>
    </w:p>
    <w:p w14:paraId="4B7D1A2B">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14:paraId="2EEFE483">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2、供应商应保证所有产品的完好无损包括配套包装，如有缺漏、损坏，由供应商负责调换、补齐或赔偿。</w:t>
      </w:r>
    </w:p>
    <w:p w14:paraId="4C1DA3F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3、采购人使用产品过程中因产品质量、产品缺陷及安装质量等造成人身伤亡、财产损失的，由供应商负责解决并承担全部责任。</w:t>
      </w:r>
    </w:p>
    <w:p w14:paraId="5DDEC0ED">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4、对于存在质量问题或者短少的产品，供应商应在接到采购人的通知2个日历日内负责修复，调换、重新制作或补齐。</w:t>
      </w:r>
    </w:p>
    <w:p w14:paraId="2C6534B5">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5、在最终验收后的质量保证期内，供应商应对设计、工艺或材料等的缺陷而产生的故障负责（负责解决并承担全部费用）。质保期满后如出现此类问题亦应负责。</w:t>
      </w:r>
    </w:p>
    <w:p w14:paraId="592D0866">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7545D95A">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347DAA37">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18" w:name="_Toc24652"/>
      <w:bookmarkStart w:id="19" w:name="_Toc521307616"/>
      <w:bookmarkStart w:id="20" w:name="_Toc19918"/>
      <w:r>
        <w:rPr>
          <w:rFonts w:hint="eastAsia" w:ascii="宋体" w:hAnsi="宋体" w:eastAsia="宋体" w:cs="宋体"/>
          <w:b/>
          <w:sz w:val="24"/>
          <w:szCs w:val="24"/>
          <w:highlight w:val="none"/>
          <w:lang w:val="zh-CN"/>
        </w:rPr>
        <w:t>十、验收</w:t>
      </w:r>
      <w:bookmarkEnd w:id="18"/>
      <w:bookmarkEnd w:id="19"/>
      <w:bookmarkEnd w:id="20"/>
    </w:p>
    <w:p w14:paraId="11BCE3FA">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39CEF1E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1、所验产品的指标、性能参数最终验收达不到招标文件要求和磋商响应文件承诺的，或在使用中发现采购人不能容忍的缺陷等，将视为产品验收不合格，供应商应在采购人要求的时间内无条件免费更换或退货。</w:t>
      </w:r>
    </w:p>
    <w:p w14:paraId="0FD262A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2、若发现供应商有弄虚作假的，在投标阶段故意或随意夸大产品技术性能，供应商应无条件退货，本合同解除，供应商赔偿采购人相应的损失。</w:t>
      </w:r>
    </w:p>
    <w:p w14:paraId="74A3E852">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3、验收标准：按招标文件、磋商响应文件及澄清函等技术指标进行验收。各项指标均应符合验收标准及要求。</w:t>
      </w:r>
    </w:p>
    <w:p w14:paraId="1FCC2A01">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b/>
          <w:sz w:val="24"/>
          <w:szCs w:val="24"/>
          <w:highlight w:val="none"/>
        </w:rPr>
      </w:pPr>
      <w:r>
        <w:rPr>
          <w:rFonts w:hint="eastAsia" w:ascii="宋体" w:hAnsi="宋体" w:eastAsia="宋体" w:cs="宋体"/>
          <w:sz w:val="24"/>
          <w:szCs w:val="24"/>
          <w:highlight w:val="none"/>
        </w:rPr>
        <w:t>4、验收合格后，填写验收单，双方签字生效。</w:t>
      </w:r>
    </w:p>
    <w:p w14:paraId="42F0176E">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21" w:name="_Toc521307617"/>
      <w:bookmarkStart w:id="22" w:name="_Toc31673"/>
      <w:bookmarkStart w:id="23" w:name="_Toc29771"/>
      <w:r>
        <w:rPr>
          <w:rFonts w:hint="eastAsia" w:ascii="宋体" w:hAnsi="宋体" w:eastAsia="宋体" w:cs="宋体"/>
          <w:b/>
          <w:sz w:val="24"/>
          <w:szCs w:val="24"/>
          <w:highlight w:val="none"/>
          <w:lang w:val="zh-CN"/>
        </w:rPr>
        <w:t>十</w:t>
      </w:r>
      <w:r>
        <w:rPr>
          <w:rFonts w:hint="eastAsia" w:ascii="宋体" w:hAnsi="宋体" w:cs="宋体"/>
          <w:b/>
          <w:sz w:val="24"/>
          <w:szCs w:val="24"/>
          <w:highlight w:val="none"/>
          <w:lang w:val="zh-CN"/>
        </w:rPr>
        <w:t>一</w:t>
      </w:r>
      <w:r>
        <w:rPr>
          <w:rFonts w:hint="eastAsia" w:ascii="宋体" w:hAnsi="宋体" w:eastAsia="宋体" w:cs="宋体"/>
          <w:b/>
          <w:sz w:val="24"/>
          <w:szCs w:val="24"/>
          <w:highlight w:val="none"/>
          <w:lang w:val="zh-CN"/>
        </w:rPr>
        <w:t>、保密</w:t>
      </w:r>
      <w:bookmarkEnd w:id="21"/>
      <w:bookmarkEnd w:id="22"/>
      <w:bookmarkEnd w:id="23"/>
    </w:p>
    <w:p w14:paraId="60460AE8">
      <w:pPr>
        <w:keepLines w:val="0"/>
        <w:pageBreakBefore w:val="0"/>
        <w:tabs>
          <w:tab w:val="left" w:pos="1080"/>
        </w:tabs>
        <w:kinsoku/>
        <w:wordWrap/>
        <w:overflowPunct/>
        <w:topLinePunct w:val="0"/>
        <w:autoSpaceDE/>
        <w:autoSpaceDN/>
        <w:bidi w:val="0"/>
        <w:spacing w:line="360" w:lineRule="auto"/>
        <w:ind w:firstLine="360" w:firstLineChars="1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对工作中了解到的采购人的技术、机密等进行严格保密，不得向他人泄漏。本合同的解除或终止不免除供应商应承担的保密义务。</w:t>
      </w:r>
    </w:p>
    <w:p w14:paraId="61F1305F">
      <w:pPr>
        <w:keepLines w:val="0"/>
        <w:pageBreakBefore w:val="0"/>
        <w:tabs>
          <w:tab w:val="left" w:pos="1080"/>
        </w:tabs>
        <w:kinsoku/>
        <w:wordWrap/>
        <w:overflowPunct/>
        <w:topLinePunct w:val="0"/>
        <w:autoSpaceDE/>
        <w:autoSpaceDN/>
        <w:bidi w:val="0"/>
        <w:spacing w:line="360" w:lineRule="auto"/>
        <w:ind w:firstLine="360" w:firstLineChars="150"/>
        <w:textAlignment w:val="auto"/>
        <w:outlineLvl w:val="9"/>
        <w:rPr>
          <w:rFonts w:hint="eastAsia" w:ascii="宋体" w:hAnsi="宋体" w:eastAsia="宋体" w:cs="宋体"/>
          <w:sz w:val="24"/>
          <w:szCs w:val="24"/>
          <w:highlight w:val="none"/>
        </w:rPr>
      </w:pPr>
      <w:bookmarkStart w:id="24" w:name="_Toc521307618"/>
      <w:bookmarkStart w:id="25" w:name="_Toc22873"/>
      <w:bookmarkStart w:id="26" w:name="_Toc3812"/>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eastAsia="zh-CN"/>
        </w:rPr>
        <w:t>知识产权</w:t>
      </w:r>
      <w:bookmarkEnd w:id="24"/>
      <w:bookmarkEnd w:id="25"/>
      <w:bookmarkEnd w:id="26"/>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14146159">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27" w:name="_Toc521307619"/>
      <w:bookmarkStart w:id="28" w:name="_Toc2446"/>
      <w:bookmarkStart w:id="29" w:name="_Toc11197"/>
      <w:r>
        <w:rPr>
          <w:rFonts w:hint="eastAsia" w:ascii="宋体" w:hAnsi="宋体" w:eastAsia="宋体" w:cs="宋体"/>
          <w:b/>
          <w:sz w:val="24"/>
          <w:szCs w:val="24"/>
          <w:highlight w:val="none"/>
          <w:lang w:val="zh-CN"/>
        </w:rPr>
        <w:t>十</w:t>
      </w:r>
      <w:r>
        <w:rPr>
          <w:rFonts w:hint="eastAsia" w:ascii="宋体" w:hAnsi="宋体" w:cs="宋体"/>
          <w:b/>
          <w:sz w:val="24"/>
          <w:szCs w:val="24"/>
          <w:highlight w:val="none"/>
          <w:lang w:val="zh-CN"/>
        </w:rPr>
        <w:t>二</w:t>
      </w:r>
      <w:r>
        <w:rPr>
          <w:rFonts w:hint="eastAsia" w:ascii="宋体" w:hAnsi="宋体" w:eastAsia="宋体" w:cs="宋体"/>
          <w:b/>
          <w:sz w:val="24"/>
          <w:szCs w:val="24"/>
          <w:highlight w:val="none"/>
          <w:lang w:val="zh-CN"/>
        </w:rPr>
        <w:t>、合同争议的解决</w:t>
      </w:r>
      <w:bookmarkEnd w:id="27"/>
      <w:bookmarkEnd w:id="28"/>
      <w:bookmarkEnd w:id="29"/>
    </w:p>
    <w:p w14:paraId="5FC7EA0A">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 xml:space="preserve"> 合同执行中发生争议的，当事人双方应协商解决。协商达不成一致时，可向当地行政仲裁机关申请仲裁或者向人民法院提请诉讼。</w:t>
      </w:r>
      <w:bookmarkStart w:id="30" w:name="_Toc32275"/>
      <w:bookmarkStart w:id="31" w:name="_Toc521307620"/>
      <w:bookmarkStart w:id="32" w:name="_Toc24578"/>
    </w:p>
    <w:p w14:paraId="5907F6A1">
      <w:pPr>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sz w:val="24"/>
          <w:szCs w:val="24"/>
          <w:highlight w:val="none"/>
        </w:rPr>
      </w:pPr>
      <w:r>
        <w:rPr>
          <w:rFonts w:hint="eastAsia" w:ascii="宋体" w:hAnsi="宋体" w:eastAsia="宋体" w:cs="宋体"/>
          <w:b/>
          <w:sz w:val="24"/>
          <w:szCs w:val="24"/>
          <w:highlight w:val="none"/>
          <w:lang w:val="en-US" w:eastAsia="zh-CN"/>
        </w:rPr>
        <w:t>2、</w:t>
      </w:r>
      <w:r>
        <w:rPr>
          <w:rFonts w:hint="eastAsia" w:ascii="宋体" w:hAnsi="宋体" w:eastAsia="宋体" w:cs="宋体"/>
          <w:sz w:val="24"/>
          <w:szCs w:val="24"/>
          <w:highlight w:val="none"/>
          <w:lang w:val="zh-CN"/>
        </w:rPr>
        <w:t>不可抗力情况下的免责约定</w:t>
      </w:r>
      <w:bookmarkEnd w:id="30"/>
      <w:bookmarkEnd w:id="31"/>
      <w:bookmarkEnd w:id="32"/>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rPr>
        <w:t>双方约定不可抗力情况指：双方不可预见、不可避免、不可克服的客观情况，但不包括双方的违约或疏忽。这些事件包括但不限于：战争、严重火灾、洪水、台风、地震等。</w:t>
      </w:r>
    </w:p>
    <w:p w14:paraId="19F4A4F5">
      <w:pPr>
        <w:keepNext/>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bookmarkStart w:id="33" w:name="_Toc22498"/>
      <w:bookmarkStart w:id="34" w:name="_Toc18591"/>
      <w:bookmarkStart w:id="35" w:name="_Toc521307621"/>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zh-CN"/>
        </w:rPr>
        <w:t>、违约责任</w:t>
      </w:r>
      <w:bookmarkEnd w:id="33"/>
      <w:bookmarkEnd w:id="34"/>
      <w:bookmarkEnd w:id="35"/>
      <w:r>
        <w:rPr>
          <w:rFonts w:hint="eastAsia" w:ascii="宋体" w:hAnsi="宋体" w:eastAsia="宋体" w:cs="宋体"/>
          <w:sz w:val="24"/>
          <w:szCs w:val="24"/>
          <w:highlight w:val="none"/>
          <w:lang w:val="zh-CN"/>
        </w:rPr>
        <w:t>；</w:t>
      </w:r>
    </w:p>
    <w:p w14:paraId="2166ED27">
      <w:pPr>
        <w:keepNext/>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供应商应按照合同规定的期限完成供货及安装、调试、验收，若不能按期完成，情节严重的采购人有权解除合同，并视情节处以不低于合同价款30%的违约金，同时追究供应商的违约责任。</w:t>
      </w:r>
    </w:p>
    <w:p w14:paraId="1E03D94A">
      <w:pPr>
        <w:keepLines w:val="0"/>
        <w:pageBreakBefore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2、双方中任何一方违反本合同保密条款的，应当向对方支付违约金。</w:t>
      </w:r>
    </w:p>
    <w:p w14:paraId="57A484BA">
      <w:pPr>
        <w:keepLines w:val="0"/>
        <w:pageBreakBefore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3、供应商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供应商承担全部责任，供应商还应向采购人承担合同总价款 1 %的违约金，违约金不足以弥补给采购人造成的损失的，供应商还应当承担补足责任。</w:t>
      </w:r>
    </w:p>
    <w:p w14:paraId="47A0793F">
      <w:pPr>
        <w:keepLines w:val="0"/>
        <w:pageBreakBefore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4、合同成立后，在任何一方无实质违约的情况下，未经相对方书面允许，任何一方不得单方撤销、中止、终止履行合同。</w:t>
      </w:r>
    </w:p>
    <w:p w14:paraId="50446FDF">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36" w:name="_Toc12230"/>
      <w:bookmarkStart w:id="37" w:name="_Toc11581"/>
      <w:bookmarkStart w:id="38" w:name="_Toc521307622"/>
      <w:r>
        <w:rPr>
          <w:rFonts w:hint="eastAsia" w:ascii="宋体" w:hAnsi="宋体" w:eastAsia="宋体" w:cs="宋体"/>
          <w:b/>
          <w:sz w:val="24"/>
          <w:szCs w:val="24"/>
          <w:highlight w:val="none"/>
          <w:lang w:val="zh-CN"/>
        </w:rPr>
        <w:t>十</w:t>
      </w:r>
      <w:r>
        <w:rPr>
          <w:rFonts w:hint="eastAsia" w:ascii="宋体" w:hAnsi="宋体" w:cs="宋体"/>
          <w:b/>
          <w:sz w:val="24"/>
          <w:szCs w:val="24"/>
          <w:highlight w:val="none"/>
          <w:lang w:val="zh-CN"/>
        </w:rPr>
        <w:t>三</w:t>
      </w:r>
      <w:r>
        <w:rPr>
          <w:rFonts w:hint="eastAsia" w:ascii="宋体" w:hAnsi="宋体" w:eastAsia="宋体" w:cs="宋体"/>
          <w:b/>
          <w:sz w:val="24"/>
          <w:szCs w:val="24"/>
          <w:highlight w:val="none"/>
          <w:lang w:val="zh-CN"/>
        </w:rPr>
        <w:t>、合同订立</w:t>
      </w:r>
      <w:bookmarkEnd w:id="36"/>
      <w:bookmarkEnd w:id="37"/>
      <w:bookmarkEnd w:id="38"/>
    </w:p>
    <w:p w14:paraId="03227F48">
      <w:pPr>
        <w:keepLines w:val="0"/>
        <w:pageBreakBefore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 订立时间：     年   月     日。</w:t>
      </w:r>
    </w:p>
    <w:p w14:paraId="131234E2">
      <w:pPr>
        <w:keepLines w:val="0"/>
        <w:pageBreakBefore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 本合同一式 陆 份，具有同等法律效力，双方各执 叁 份。各方签字盖章后生效，合同执行完毕自动失效。（合同的服务承诺则长期有效）。</w:t>
      </w:r>
    </w:p>
    <w:p w14:paraId="33A7B7B0">
      <w:pPr>
        <w:pageBreakBefore w:val="0"/>
        <w:kinsoku/>
        <w:topLinePunct w:val="0"/>
        <w:bidi w:val="0"/>
        <w:adjustRightInd w:val="0"/>
        <w:snapToGrid w:val="0"/>
        <w:spacing w:line="360" w:lineRule="auto"/>
        <w:ind w:firstLine="475" w:firstLineChars="198"/>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p w14:paraId="52C302B8">
      <w:pPr>
        <w:pStyle w:val="2"/>
        <w:pageBreakBefore w:val="0"/>
        <w:kinsoku/>
        <w:topLinePunct w:val="0"/>
        <w:bidi w:val="0"/>
        <w:spacing w:line="360" w:lineRule="auto"/>
        <w:rPr>
          <w:rFonts w:hint="eastAsia" w:ascii="宋体" w:hAnsi="宋体" w:eastAsia="宋体" w:cs="宋体"/>
          <w:sz w:val="24"/>
          <w:szCs w:val="24"/>
          <w:highlight w:val="none"/>
        </w:rPr>
      </w:pPr>
    </w:p>
    <w:p w14:paraId="5B9C4118">
      <w:pPr>
        <w:pageBreakBefore w:val="0"/>
        <w:kinsoku/>
        <w:topLinePunct w:val="0"/>
        <w:bidi w:val="0"/>
        <w:adjustRightInd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采购人：                         供应商：                            </w:t>
      </w:r>
    </w:p>
    <w:p w14:paraId="6758BBE8">
      <w:pPr>
        <w:pageBreakBefore w:val="0"/>
        <w:kinsoku/>
        <w:topLinePunct w:val="0"/>
        <w:bidi w:val="0"/>
        <w:adjustRightInd w:val="0"/>
        <w:snapToGrid w:val="0"/>
        <w:spacing w:line="360" w:lineRule="auto"/>
        <w:rPr>
          <w:rFonts w:hint="eastAsia" w:ascii="宋体" w:hAnsi="宋体" w:eastAsia="宋体" w:cs="宋体"/>
          <w:sz w:val="24"/>
          <w:szCs w:val="24"/>
          <w:highlight w:val="none"/>
        </w:rPr>
      </w:pPr>
    </w:p>
    <w:p w14:paraId="0C02A808">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法定代表人或其授权               法定代表人或其授权  </w:t>
      </w:r>
    </w:p>
    <w:p w14:paraId="582A182B">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的代理人：                               的代理人：      </w:t>
      </w:r>
    </w:p>
    <w:p w14:paraId="07B5D9B0">
      <w:pPr>
        <w:pageBreakBefore w:val="0"/>
        <w:kinsoku/>
        <w:topLinePunct w:val="0"/>
        <w:bidi w:val="0"/>
        <w:adjustRightInd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开户银行：                               开户银行：                          </w:t>
      </w:r>
      <w:r>
        <w:rPr>
          <w:rStyle w:val="5"/>
          <w:rFonts w:hint="eastAsia" w:ascii="宋体" w:hAnsi="宋体" w:eastAsia="宋体" w:cs="宋体"/>
          <w:color w:val="auto"/>
          <w:sz w:val="24"/>
          <w:szCs w:val="24"/>
          <w:highlight w:val="none"/>
        </w:rPr>
        <w:t xml:space="preserve">  </w:t>
      </w:r>
      <w:r>
        <w:rPr>
          <w:rFonts w:hint="eastAsia" w:ascii="宋体" w:hAnsi="宋体" w:eastAsia="宋体" w:cs="宋体"/>
          <w:sz w:val="24"/>
          <w:szCs w:val="24"/>
          <w:highlight w:val="none"/>
        </w:rPr>
        <w:t xml:space="preserve">                                    </w:t>
      </w:r>
    </w:p>
    <w:p w14:paraId="0840DE62">
      <w:pPr>
        <w:pageBreakBefore w:val="0"/>
        <w:kinsoku/>
        <w:topLinePunct w:val="0"/>
        <w:bidi w:val="0"/>
        <w:adjustRightInd w:val="0"/>
        <w:snapToGrid w:val="0"/>
        <w:spacing w:line="360" w:lineRule="auto"/>
        <w:ind w:left="4080" w:hanging="4080" w:hangingChars="17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电子邮箱：                               电子邮箱：    </w:t>
      </w:r>
    </w:p>
    <w:p w14:paraId="6827740F">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账号：                                       账号：   </w:t>
      </w:r>
    </w:p>
    <w:p w14:paraId="12838789">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电话：                                       电话：       </w:t>
      </w:r>
    </w:p>
    <w:p w14:paraId="0228400D">
      <w:r>
        <w:rPr>
          <w:rFonts w:hint="eastAsia" w:ascii="宋体" w:hAnsi="宋体" w:eastAsia="宋体" w:cs="宋体"/>
          <w:sz w:val="24"/>
          <w:szCs w:val="24"/>
          <w:highlight w:val="none"/>
        </w:rPr>
        <w:t>传真：                                       传真：</w:t>
      </w:r>
      <w:bookmarkStart w:id="39" w:name="_GoBack"/>
      <w:bookmarkEnd w:id="3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MingLiU">
    <w:panose1 w:val="02020509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0F74EC"/>
    <w:rsid w:val="400F7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character" w:customStyle="1" w:styleId="5">
    <w:name w:val="font21"/>
    <w:basedOn w:val="4"/>
    <w:qFormat/>
    <w:uiPriority w:val="0"/>
    <w:rPr>
      <w:rFonts w:hint="eastAsia" w:ascii="MingLiU" w:hAnsi="MingLiU" w:eastAsia="MingLiU" w:cs="MingLiU"/>
      <w:color w:val="000000"/>
      <w:sz w:val="36"/>
      <w:szCs w:val="3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2025-07-11T14:55:00Z</dcterms:created>
  <dc:creator>肖先生</dc:creator>
  <cp:lastModifiedBy>肖先生</cp:lastModifiedBy>
  <dcterms:modified xsi:type="dcterms:W3CDTF">2025-07-11T14:55:45Z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C53160CCCF504CBD8AE791378DF2A789_11</vt:lpwstr>
  </property>
  <property fmtid="{D5CDD505-2E9C-101B-9397-08002B2CF9AE}" pid="4" name="KSOTemplateDocerSaveRecord">
    <vt:lpwstr>eyJoZGlkIjoiZjE0ZTQxYjRjODcxMWRiOGM3MjM1YjAwNGQwNDRiNGEiLCJ1c2VySWQiOiIzNTUwNDA0OTMifQ==</vt:lpwstr>
  </property>
</Properties>
</file>