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版本号：HRC-ZBDL-2025-0087820250714001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细柳街道办事处2025年城市道路保洁、公厕管理及绿化养护项目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HRC-ZBDL-2025-00878</w:t>
      </w:r>
      <w:r>
        <w:br/>
      </w:r>
      <w:r>
        <w:br/>
      </w:r>
      <w:r>
        <w:br/>
      </w:r>
    </w:p>
    <w:p>
      <w:pPr>
        <w:pStyle w:val="null3"/>
        <w:jc w:val="center"/>
        <w:outlineLvl w:val="2"/>
      </w:pPr>
      <w:r>
        <w:rPr>
          <w:rFonts w:ascii="仿宋_GB2312" w:hAnsi="仿宋_GB2312" w:cs="仿宋_GB2312" w:eastAsia="仿宋_GB2312"/>
          <w:sz w:val="28"/>
          <w:b/>
        </w:rPr>
        <w:t>西安市长安区细柳街道办事处</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西安市长安区细柳街道办事处</w:t>
      </w:r>
      <w:r>
        <w:rPr>
          <w:rFonts w:ascii="仿宋_GB2312" w:hAnsi="仿宋_GB2312" w:cs="仿宋_GB2312" w:eastAsia="仿宋_GB2312"/>
        </w:rPr>
        <w:t>委托，拟对</w:t>
      </w:r>
      <w:r>
        <w:rPr>
          <w:rFonts w:ascii="仿宋_GB2312" w:hAnsi="仿宋_GB2312" w:cs="仿宋_GB2312" w:eastAsia="仿宋_GB2312"/>
        </w:rPr>
        <w:t>细柳街道办事处2025年城市道路保洁、公厕管理及绿化养护项目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HRC-ZBDL-2025-00878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细柳街道办事处2025年城市道路保洁、公厕管理及绿化养护项目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细柳街办辖区市政道路共计103条，共计清扫保洁面积4512152.154㎡;79条养护道路，绿化养护面积总计1345218.6㎡，其中，一级道路151957.12㎡，二级道路1193261.48㎡；公厕66座（土建43座、移动23座）；农村以及建城区各垃圾点位生活垃圾清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法定代表人（单位负责人）参加投标的，提供本人身份证复印件并出示身份证；法定代表人（单位负责人）授权他人参加投标的，提供法定代表人（单位负责人）委托授权书并出示被授权代表的身份证及在本单位的社保证明（提供开标截止时间前3个月）。</w:t>
      </w:r>
    </w:p>
    <w:p>
      <w:pPr>
        <w:pStyle w:val="null3"/>
      </w:pPr>
      <w:r>
        <w:rPr>
          <w:rFonts w:ascii="仿宋_GB2312" w:hAnsi="仿宋_GB2312" w:cs="仿宋_GB2312" w:eastAsia="仿宋_GB2312"/>
        </w:rPr>
        <w:t>2、企业信誉：供应商不得为“信用中国 ”网站（www.creditchina.gov.cn）中列入失信被执行人和重大税收违法失信主体名单的供应商，不得为中国政府采购网（www.ccgp.gov.cn）政府采购严重违法失信行为记录名单中被财政部门禁止参加政府采购活动的供应商。提供《基本资格条件承诺函》。</w:t>
      </w:r>
    </w:p>
    <w:p>
      <w:pPr>
        <w:pStyle w:val="null3"/>
      </w:pPr>
      <w:r>
        <w:rPr>
          <w:rFonts w:ascii="仿宋_GB2312" w:hAnsi="仿宋_GB2312" w:cs="仿宋_GB2312" w:eastAsia="仿宋_GB2312"/>
        </w:rPr>
        <w:t>3、联合体：本项目不允许联合体（提供非联合体声明函）。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西安市长安区细柳街道办事处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西安市长安区细柳街道府君庙甲字四号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王倩茹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029-85912310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18681802917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采购包1：36,314,096.22元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采购代理服务收费管理暂行办法的通知》（计价格[2002]1980号）及《国家发展改革委办公厅关于招标代理服务收费有关问题的通知》（发改办价格[2003]857号）文件规定的取费标准计取；代理服务费由中标人向乙方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西安市长安区细柳街道办事处</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西安市长安区细柳街道办事处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西安市长安区细柳街道办事处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联系人：王琛</w:t>
      </w:r>
    </w:p>
    <w:p>
      <w:pPr>
        <w:pStyle w:val="null3"/>
      </w:pPr>
      <w:r>
        <w:rPr>
          <w:rFonts w:ascii="仿宋_GB2312" w:hAnsi="仿宋_GB2312" w:cs="仿宋_GB2312" w:eastAsia="仿宋_GB2312"/>
        </w:rPr>
        <w:t>联系电话：18681802917</w:t>
      </w:r>
    </w:p>
    <w:p>
      <w:pPr>
        <w:pStyle w:val="null3"/>
      </w:pPr>
      <w:r>
        <w:rPr>
          <w:rFonts w:ascii="仿宋_GB2312" w:hAnsi="仿宋_GB2312" w:cs="仿宋_GB2312" w:eastAsia="仿宋_GB2312"/>
        </w:rPr>
        <w:t>地址：西安市曲江新区雁翔路旺座曲江E座29层2901号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细柳街办辖区市政道路共计103条，共计清扫保洁面积4512152.154㎡;79条养护道路，绿化养护面积总计1345218.6㎡，其中，一级道路151957.12㎡，二级道路1193261.48㎡；公厕66座（土建43座、移动23座）；农村以及建城区各垃圾点位生活垃圾清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36,314,096.22</w:t>
      </w:r>
    </w:p>
    <w:p>
      <w:pPr>
        <w:pStyle w:val="null3"/>
      </w:pPr>
      <w:r>
        <w:rPr>
          <w:rFonts w:ascii="仿宋_GB2312" w:hAnsi="仿宋_GB2312" w:cs="仿宋_GB2312" w:eastAsia="仿宋_GB2312"/>
        </w:rPr>
        <w:t>采购包最高限价（元）: 36,314,096.22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市容管理服务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36,314,096.22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标的名称：市容管理服务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一、服务内容</w:t>
            </w:r>
          </w:p>
          <w:p>
            <w:pPr>
              <w:pStyle w:val="null3"/>
            </w:pPr>
            <w:r>
              <w:rPr>
                <w:rFonts w:ascii="仿宋_GB2312" w:hAnsi="仿宋_GB2312" w:cs="仿宋_GB2312" w:eastAsia="仿宋_GB2312"/>
                <w:sz w:val="21"/>
              </w:rPr>
              <w:t>1、承包区域内所有市政道路红线内（含人行道、快慢行车道、绿化带等）的清扫、保洁、洒水、冲洗工作。</w:t>
            </w:r>
          </w:p>
          <w:p>
            <w:pPr>
              <w:pStyle w:val="null3"/>
            </w:pPr>
            <w:r>
              <w:rPr>
                <w:rFonts w:ascii="仿宋_GB2312" w:hAnsi="仿宋_GB2312" w:cs="仿宋_GB2312" w:eastAsia="仿宋_GB2312"/>
                <w:sz w:val="21"/>
              </w:rPr>
              <w:t>2、承包区域内所有市政道路红线内清扫保洁产生的农村以及建城区各垃圾点位生活垃圾清运（大件垃圾清运，建筑垃圾除外）。</w:t>
            </w:r>
          </w:p>
          <w:p>
            <w:pPr>
              <w:pStyle w:val="null3"/>
            </w:pPr>
            <w:r>
              <w:rPr>
                <w:rFonts w:ascii="仿宋_GB2312" w:hAnsi="仿宋_GB2312" w:cs="仿宋_GB2312" w:eastAsia="仿宋_GB2312"/>
                <w:sz w:val="21"/>
              </w:rPr>
              <w:t>3、承包区域可视范围内的道路隔车带、公共绿地、树坑的环卫保洁、垃圾收集及野广告清理工作。</w:t>
            </w:r>
          </w:p>
          <w:p>
            <w:pPr>
              <w:pStyle w:val="null3"/>
            </w:pPr>
            <w:r>
              <w:rPr>
                <w:rFonts w:ascii="仿宋_GB2312" w:hAnsi="仿宋_GB2312" w:cs="仿宋_GB2312" w:eastAsia="仿宋_GB2312"/>
                <w:sz w:val="21"/>
              </w:rPr>
              <w:t>4、承包区域内果皮箱、保洁工具箱、灭烟柱的保洁清洗及周边垃圾收集，道路可视范围内零星散落生活垃圾的收集，路牌、灯杆等市政设施的保洁、野广告清除等工作。</w:t>
            </w:r>
          </w:p>
          <w:p>
            <w:pPr>
              <w:pStyle w:val="null3"/>
            </w:pPr>
            <w:r>
              <w:rPr>
                <w:rFonts w:ascii="仿宋_GB2312" w:hAnsi="仿宋_GB2312" w:cs="仿宋_GB2312" w:eastAsia="仿宋_GB2312"/>
                <w:sz w:val="21"/>
              </w:rPr>
              <w:t>5、区域内冬季清雪除冰及后续清运处理工作。</w:t>
            </w:r>
          </w:p>
          <w:p>
            <w:pPr>
              <w:pStyle w:val="null3"/>
            </w:pPr>
            <w:r>
              <w:rPr>
                <w:rFonts w:ascii="仿宋_GB2312" w:hAnsi="仿宋_GB2312" w:cs="仿宋_GB2312" w:eastAsia="仿宋_GB2312"/>
                <w:sz w:val="21"/>
              </w:rPr>
              <w:t>6、清除因不可抗力造成的垃圾抛洒、暴雨洪水造成的积水垃圾等（包括交通事故）。</w:t>
            </w:r>
          </w:p>
          <w:p>
            <w:pPr>
              <w:pStyle w:val="null3"/>
            </w:pPr>
            <w:r>
              <w:rPr>
                <w:rFonts w:ascii="仿宋_GB2312" w:hAnsi="仿宋_GB2312" w:cs="仿宋_GB2312" w:eastAsia="仿宋_GB2312"/>
                <w:sz w:val="21"/>
              </w:rPr>
              <w:t>7、区域内66座公共卫生间的管理工作，包含看护、保洁、小型维修养护、清污、水电费缴纳。</w:t>
            </w:r>
          </w:p>
          <w:p>
            <w:pPr>
              <w:pStyle w:val="null3"/>
            </w:pPr>
            <w:r>
              <w:rPr>
                <w:rFonts w:ascii="仿宋_GB2312" w:hAnsi="仿宋_GB2312" w:cs="仿宋_GB2312" w:eastAsia="仿宋_GB2312"/>
                <w:sz w:val="21"/>
              </w:rPr>
              <w:t>8、数字化城管等相关投诉的处理。</w:t>
            </w:r>
          </w:p>
          <w:p>
            <w:pPr>
              <w:pStyle w:val="null3"/>
            </w:pPr>
            <w:r>
              <w:rPr>
                <w:rFonts w:ascii="仿宋_GB2312" w:hAnsi="仿宋_GB2312" w:cs="仿宋_GB2312" w:eastAsia="仿宋_GB2312"/>
                <w:sz w:val="21"/>
              </w:rPr>
              <w:t>9、贯彻落实高新区“公厕管理”、“精细化管理和大气污染”等工作的相关要求。</w:t>
            </w:r>
          </w:p>
          <w:p>
            <w:pPr>
              <w:pStyle w:val="null3"/>
            </w:pPr>
            <w:r>
              <w:rPr>
                <w:rFonts w:ascii="仿宋_GB2312" w:hAnsi="仿宋_GB2312" w:cs="仿宋_GB2312" w:eastAsia="仿宋_GB2312"/>
                <w:sz w:val="21"/>
              </w:rPr>
              <w:t>10、承包区域内浇水、施肥、修剪、整形、除杂草、苗木补植、病虫害防治、病媒防治、松土、高台土清理（按照规定落土低于道牙10cm）、绿地植物冲洗、绿地清掏（清掏符合治污减霾要求）、绿化养护作业产生的垃圾清理。</w:t>
            </w:r>
          </w:p>
          <w:p>
            <w:pPr>
              <w:pStyle w:val="null3"/>
            </w:pPr>
            <w:r>
              <w:rPr>
                <w:rFonts w:ascii="仿宋_GB2312" w:hAnsi="仿宋_GB2312" w:cs="仿宋_GB2312" w:eastAsia="仿宋_GB2312"/>
                <w:sz w:val="21"/>
              </w:rPr>
              <w:t>11、承包区域内公共设施的维护与保养。</w:t>
            </w:r>
          </w:p>
          <w:p>
            <w:pPr>
              <w:pStyle w:val="null3"/>
            </w:pPr>
            <w:r>
              <w:rPr>
                <w:rFonts w:ascii="仿宋_GB2312" w:hAnsi="仿宋_GB2312" w:cs="仿宋_GB2312" w:eastAsia="仿宋_GB2312"/>
                <w:sz w:val="21"/>
              </w:rPr>
              <w:t>12、数字化城管、路长制相关工作、河长制相关工作、治污减霾相关工作、病媒防治工作，数字化投诉、12345市民热线投诉的处理等。</w:t>
            </w:r>
          </w:p>
          <w:p>
            <w:pPr>
              <w:pStyle w:val="null3"/>
            </w:pPr>
            <w:r>
              <w:rPr>
                <w:rFonts w:ascii="仿宋_GB2312" w:hAnsi="仿宋_GB2312" w:cs="仿宋_GB2312" w:eastAsia="仿宋_GB2312"/>
                <w:sz w:val="21"/>
              </w:rPr>
              <w:t>13、采取相应养护措施维护现有绿化苗木长势良好，并保障区域内道路绿化区域不出现缺株断垄、死苗留置、黄土裸露等现象。</w:t>
            </w:r>
          </w:p>
          <w:p>
            <w:pPr>
              <w:pStyle w:val="null3"/>
            </w:pPr>
            <w:r>
              <w:rPr>
                <w:rFonts w:ascii="仿宋_GB2312" w:hAnsi="仿宋_GB2312" w:cs="仿宋_GB2312" w:eastAsia="仿宋_GB2312"/>
                <w:sz w:val="21"/>
              </w:rPr>
              <w:t>14、冬季清除积雪积冰工作，夏季抗旱防汛工作，冬季落叶清掏、落土、修剪、冬灌工作。</w:t>
            </w:r>
          </w:p>
          <w:p>
            <w:pPr>
              <w:pStyle w:val="null3"/>
            </w:pPr>
            <w:r>
              <w:rPr>
                <w:rFonts w:ascii="仿宋_GB2312" w:hAnsi="仿宋_GB2312" w:cs="仿宋_GB2312" w:eastAsia="仿宋_GB2312"/>
                <w:sz w:val="21"/>
              </w:rPr>
              <w:t>15、清除整理因不可抗力造成的倒树、断枝等（包括交通事故）。</w:t>
            </w:r>
          </w:p>
          <w:p>
            <w:pPr>
              <w:pStyle w:val="null3"/>
            </w:pPr>
            <w:r>
              <w:rPr>
                <w:rFonts w:ascii="仿宋_GB2312" w:hAnsi="仿宋_GB2312" w:cs="仿宋_GB2312" w:eastAsia="仿宋_GB2312"/>
                <w:sz w:val="21"/>
              </w:rPr>
              <w:t>16、甲方安排的其它工作。</w:t>
            </w:r>
          </w:p>
          <w:p>
            <w:pPr>
              <w:pStyle w:val="null3"/>
            </w:pPr>
            <w:r>
              <w:rPr>
                <w:rFonts w:ascii="仿宋_GB2312" w:hAnsi="仿宋_GB2312" w:cs="仿宋_GB2312" w:eastAsia="仿宋_GB2312"/>
                <w:sz w:val="21"/>
              </w:rPr>
              <w:t>二、服务期限：一年。（2025年9月1日至2026年8月31日）（具体以合同签订日期为准）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1、承包区域核定清扫保洁员250人，清扫保洁车辆驾驶员65人，公厕管理员66人，农村以及建城区各垃圾点位生活垃圾清运车辆驾驶员7人，垃圾装卸工14人。 2、承包区域核定绿化工70人、绿化处理驾驶员6人、绿化技术员7人、安全员2人、区域负责人2人。 3、提供不少于10人的专职管理团队。</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需提供市容环卫大中型清扫保洁作业车辆30辆（其中清洗车辆19辆，洗扫车辆11辆），垃圾车辆7辆，除雪车辆4辆，手扶除雪车30辆。自备所有车辆的停放场地，维修场所，人员办公场所，管理所需车辆、项目运行所必备的仓库及常用物资储备等。需提供车辆明细（包含车辆类型、品牌、颜色、车牌号、车架号等信息）。</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服务标准：符合招标文件及采购人要求.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一年。（2025年9月1日至2026年8月31日）（具体以合同签订日期为准）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1、结算依据：道路清扫保洁、公厕管理及、绿化养护的质量标准及工作程序、督办考核作为当月付款结算的依据。 2、结算方式：合同款按月支付，当月承包费用考核完毕后，次月办理支付手续。 3、按照承包单价*当月实际清扫保洁面积+公厕管理费用+考核扣款+按照承包单价*当月实际绿化养护面积+考核扣款=当月承包养护费用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1、本项目所属行业：其他未列明行业。 2、中标供应商在领取中标通知书前，需向招标代理机构提交加盖公章的纸质版投标文件三套，中标供应商应保持投标文件纸质版内容与系统上传内容完全一致。 3、采购需求明细详见合同附件。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提供《基本资格条件承诺函》。</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供应商需在项目电子化交易系统中按要求上传相应证明文件并进行电子签章。提供《基本资格条件承诺函》。</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单位负责人）参加投标的，提供本人身份证复印件并出示身份证；法定代表人（单位负责人）授权他人参加投标的，提供法定代表人（单位负责人）委托授权书并出示被授权代表的身份证及在本单位的社保证明（提供开标截止时间前3个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 ”网站（www.creditchina.gov.cn）中列入失信被执行人和重大税收违法失信主体名单的供应商，不得为中国政府采购网（www.ccgp.gov.cn）政府采购严重违法失信行为记录名单中被财政部门禁止参加政府采购活动的供应商。提供《基本资格条件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本项目不允许联合体（提供非联合体声明函）。</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投标人认为需要提供的其他资料.docx 中小企业声明函 分项报价表.docx 投标人应提交的相关资格证明材料.docx 技术、服务及其他商务要求应答表.docx 投标函 残疾人福利性单位声明函 技术方案响应说明.docx 标的清单 投标文件封面 业绩的相关证明材料.docx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文件签署和盖章</w:t>
            </w:r>
          </w:p>
        </w:tc>
        <w:tc>
          <w:tcPr>
            <w:tcW w:type="dxa" w:w="3322"/>
          </w:tcPr>
          <w:p>
            <w:pPr>
              <w:pStyle w:val="null3"/>
            </w:pPr>
            <w:r>
              <w:rPr>
                <w:rFonts w:ascii="仿宋_GB2312" w:hAnsi="仿宋_GB2312" w:cs="仿宋_GB2312" w:eastAsia="仿宋_GB2312"/>
              </w:rPr>
              <w:t>投标文件是否符合招标文件签署和盖章要求。</w:t>
            </w:r>
          </w:p>
        </w:tc>
        <w:tc>
          <w:tcPr>
            <w:tcW w:type="dxa" w:w="1661"/>
          </w:tcPr>
          <w:p>
            <w:pPr>
              <w:pStyle w:val="null3"/>
            </w:pPr>
            <w:r>
              <w:rPr>
                <w:rFonts w:ascii="仿宋_GB2312" w:hAnsi="仿宋_GB2312" w:cs="仿宋_GB2312" w:eastAsia="仿宋_GB2312"/>
              </w:rPr>
              <w:t>开标一览表 投标人认为需要提供的其他资料.docx 中小企业声明函 分项报价表.docx 投标人应提交的相关资格证明材料.docx 技术、服务及其他商务要求应答表.docx 投标函 残疾人福利性单位声明函 技术方案响应说明.docx 标的清单 业绩的相关证明材料.docx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是否响应招标文件实质性商务要求，是否符合法律、法规和招标文件规定，无其他无效投标情形的。</w:t>
            </w:r>
          </w:p>
        </w:tc>
        <w:tc>
          <w:tcPr>
            <w:tcW w:type="dxa" w:w="1661"/>
          </w:tcPr>
          <w:p>
            <w:pPr>
              <w:pStyle w:val="null3"/>
            </w:pPr>
            <w:r>
              <w:rPr>
                <w:rFonts w:ascii="仿宋_GB2312" w:hAnsi="仿宋_GB2312" w:cs="仿宋_GB2312" w:eastAsia="仿宋_GB2312"/>
              </w:rPr>
              <w:t>开标一览表 投标人认为需要提供的其他资料.docx 中小企业声明函 分项报价表.docx 投标人应提交的相关资格证明材料.docx 技术、服务及其他商务要求应答表.docx 投标函 残疾人福利性单位声明函 技术方案响应说明.docx 标的清单 投标文件封面 业绩的相关证明材料.docx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道路保洁方案</w:t>
            </w:r>
          </w:p>
        </w:tc>
        <w:tc>
          <w:tcPr>
            <w:tcW w:type="dxa" w:w="2492"/>
          </w:tcPr>
          <w:p>
            <w:pPr>
              <w:pStyle w:val="null3"/>
            </w:pPr>
            <w:r>
              <w:rPr>
                <w:rFonts w:ascii="仿宋_GB2312" w:hAnsi="仿宋_GB2312" w:cs="仿宋_GB2312" w:eastAsia="仿宋_GB2312"/>
              </w:rPr>
              <w:t>道路保洁方案的可操作性： 根据方案内容完整，描述清晰，且能针对性满足本项目得8-12（含）；方案内容较完整，描述简单，可行性一般，基本满足本项目得4-8（含）分；方案内容笼统，描述简单，可行性不强得0-4（含）分。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绿化养护方案</w:t>
            </w:r>
          </w:p>
        </w:tc>
        <w:tc>
          <w:tcPr>
            <w:tcW w:type="dxa" w:w="2492"/>
          </w:tcPr>
          <w:p>
            <w:pPr>
              <w:pStyle w:val="null3"/>
            </w:pPr>
            <w:r>
              <w:rPr>
                <w:rFonts w:ascii="仿宋_GB2312" w:hAnsi="仿宋_GB2312" w:cs="仿宋_GB2312" w:eastAsia="仿宋_GB2312"/>
              </w:rPr>
              <w:t>绿化养护方案的可操作性： 根据绿化养护承包区内环境设施的维护管理及措施方案等内容完整且切实可行，描述清晰，且能针对性满足本项目得8-12（含）分；方案内容较完整，描述一般，可操作性一般，基本能够满足本项目得4-8（含）分；方案内容较简单，描述简单，可操作性较差得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公厕管理维护方案</w:t>
            </w:r>
          </w:p>
        </w:tc>
        <w:tc>
          <w:tcPr>
            <w:tcW w:type="dxa" w:w="2492"/>
          </w:tcPr>
          <w:p>
            <w:pPr>
              <w:pStyle w:val="null3"/>
            </w:pPr>
            <w:r>
              <w:rPr>
                <w:rFonts w:ascii="仿宋_GB2312" w:hAnsi="仿宋_GB2312" w:cs="仿宋_GB2312" w:eastAsia="仿宋_GB2312"/>
              </w:rPr>
              <w:t>公厕维护方案的可操作性： 充分了解本项目采购需求及高新区相关政策要求，能够针对本项目公厕维护做出完整可行的方案，且描述清晰8-12（含）；对本项目采购需求及高新区相关政策要求了解较为充分，维护方案内容较为完整，描述简单得4-8（含）分；对本项目采购需求及高新区相关政策要求不够了解，维护方案内容较差，描述不清晰得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针对本项目配备的设施设备及物品</w:t>
            </w:r>
          </w:p>
        </w:tc>
        <w:tc>
          <w:tcPr>
            <w:tcW w:type="dxa" w:w="2492"/>
          </w:tcPr>
          <w:p>
            <w:pPr>
              <w:pStyle w:val="null3"/>
            </w:pPr>
            <w:r>
              <w:rPr>
                <w:rFonts w:ascii="仿宋_GB2312" w:hAnsi="仿宋_GB2312" w:cs="仿宋_GB2312" w:eastAsia="仿宋_GB2312"/>
              </w:rPr>
              <w:t>针对本项目配备的设施设备及物品： 配备情况及物品完整能充分满足本项目需求得4-6（含）分；配备情况及设施一般，基本能满足本项目需求得2-4（含）分；配备情况不够充足，设施较差得0-2（含）分。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针对本项目配备的专业工作车辆及设施设备车辆管理、维护的保障措施</w:t>
            </w:r>
          </w:p>
        </w:tc>
        <w:tc>
          <w:tcPr>
            <w:tcW w:type="dxa" w:w="2492"/>
          </w:tcPr>
          <w:p>
            <w:pPr>
              <w:pStyle w:val="null3"/>
            </w:pPr>
            <w:r>
              <w:rPr>
                <w:rFonts w:ascii="仿宋_GB2312" w:hAnsi="仿宋_GB2312" w:cs="仿宋_GB2312" w:eastAsia="仿宋_GB2312"/>
              </w:rPr>
              <w:t>针对本项目配备的专业工作车辆及设施设备车辆管理、维护的保障措施： 配备情况符合文件要求，措施完整能充分满足本项目需求得4-6（含）分；配备情况符合文件要求，措施一般，基本能满足本项目需求得2-4（含）分；配备情况符合文件要求，措施较差得0-2（含）分。 注：需提供车辆明细（包含车辆类型、品牌、颜色、车牌号、车架号等信息）。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出现紧急情况或故障时维修人员的响应保障措施、清洁及保洁的保障措施： 能够保证在出现紧急情况或故障时第一时间响应且做出应对，措施完整可靠得4-6（含）分；在出现紧急情况或故障时积极响应，保障措施内容较完整可行得2-4（含）分；在出现紧急情况或故障时响应性较差，保障措施不够充分得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人员配备与管理方案，人员配备符合招标文件要求，各岗位人员的配置完整，所配人员经过严格培训，每个人员都有相关培训证明，具备执行能力，能够有效实施工作所配备人员充足且科学合理，分工明确，根据内容完整，描述清晰，且能针对性满足项目得3-6（含）分；内容笼统，描述简单，可行性不强得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人员安全作业的保障措施</w:t>
            </w:r>
          </w:p>
        </w:tc>
        <w:tc>
          <w:tcPr>
            <w:tcW w:type="dxa" w:w="2492"/>
          </w:tcPr>
          <w:p>
            <w:pPr>
              <w:pStyle w:val="null3"/>
            </w:pPr>
            <w:r>
              <w:rPr>
                <w:rFonts w:ascii="仿宋_GB2312" w:hAnsi="仿宋_GB2312" w:cs="仿宋_GB2312" w:eastAsia="仿宋_GB2312"/>
              </w:rPr>
              <w:t>能够保证各岗位人员都能做到安全作业，保障措施合理完整得2.5-5（含）分；各岗位人员在安全作业时存有安全隐患，保证措施不够充足得0-2.5（含）。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内部管理制度及风险控制制度</w:t>
            </w:r>
          </w:p>
        </w:tc>
        <w:tc>
          <w:tcPr>
            <w:tcW w:type="dxa" w:w="2492"/>
          </w:tcPr>
          <w:p>
            <w:pPr>
              <w:pStyle w:val="null3"/>
            </w:pPr>
            <w:r>
              <w:rPr>
                <w:rFonts w:ascii="仿宋_GB2312" w:hAnsi="仿宋_GB2312" w:cs="仿宋_GB2312" w:eastAsia="仿宋_GB2312"/>
              </w:rPr>
              <w:t>针对本项目提出管理制度，制度内容包含：①岗位职责：包含岗位工作标准、服务质量标准、现场质量控制体系；②内控制度：包含保密制度、管理组织机构、监督制度、自查制度、档案管理制度（包含档案保管措施及档案的归档、移交、备案登记、保存和销毁）；③人员管理制度：具有员工日常管理办法、请销假制度、奖惩措施、激励机制、仪容仪表制度：方案详细全面，表述清晰完整，完全满足招标文件要求得3-6（含）分；制度内容笼统，描述简单，可行性一般得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对本项目的重点把握突出，难点分析到位： 根据内容完整，描述清晰，且能针对性满足项目得4-6（含）分；内容较完整，描述简单，可行性一般，基本满足项目得2-4（含）分；内容笼统，描述简单，可行性不强得0-2（含）分。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1、对本次项目的服务承诺（包含但不限于针对本项目的各项服务质量目标、保障措施及服务人员入场计划等内容），承诺各管理项目指标达到国家相关标准，按其响应程度计0～2.5分。 2、对服务期限内质量、人员到位情况、后期服务等做出实质性承诺（内容应当包含不能完全履行承诺时愿意接受相关处罚的相关承诺），按其响应程度计0～2.5分。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提供2022年1月1日至今同类项目业绩证明文件。每提供1份，得2分，满分8分。（业绩证明文件以合同原件的扫描件并加盖供应商公章为准，时间以合同签订时间为准。）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报价得分=(评标基准价/投标报价)×10 注：1、计算分数时四舍五入取小数点后两位；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详见附件：技术方案响应说明.docx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详见附件：投标人认为需要提供的其他资料.docx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