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版本号：XDZ2025-178-N-106、XACH2025-06920250722002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高新二路瑞吉大厦办公楼装修改造工程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XDZ2025-178-N-106、XACH2025-069</w:t>
      </w:r>
      <w:r>
        <w:br/>
      </w:r>
      <w:r>
        <w:br/>
      </w:r>
      <w:r>
        <w:br/>
      </w:r>
    </w:p>
    <w:p>
      <w:pPr>
        <w:pStyle w:val="null3"/>
        <w:jc w:val="center"/>
        <w:outlineLvl w:val="2"/>
      </w:pPr>
      <w:r>
        <w:rPr>
          <w:rFonts w:ascii="仿宋_GB2312" w:hAnsi="仿宋_GB2312" w:cs="仿宋_GB2312" w:eastAsia="仿宋_GB2312"/>
          <w:sz w:val="28"/>
          <w:b/>
        </w:rPr>
        <w:t>西安高新技术产业开发区财政金融局</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西安高新技术产业开发区财政金融局</w:t>
      </w:r>
      <w:r>
        <w:rPr>
          <w:rFonts w:ascii="仿宋_GB2312" w:hAnsi="仿宋_GB2312" w:cs="仿宋_GB2312" w:eastAsia="仿宋_GB2312"/>
        </w:rPr>
        <w:t>委托，拟对</w:t>
      </w:r>
      <w:r>
        <w:rPr>
          <w:rFonts w:ascii="仿宋_GB2312" w:hAnsi="仿宋_GB2312" w:cs="仿宋_GB2312" w:eastAsia="仿宋_GB2312"/>
        </w:rPr>
        <w:t>高新二路瑞吉大厦办公楼装修改造工程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XDZ2025-178-N-106、XACH2025-069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高新二路瑞吉大厦办公楼装修改造工程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主要内容包括办公楼原有地面、墙面、顶面等拆除及新做，屋面翻新改造，原有混凝土楼梯拆除、新作钢楼梯等;卫生洁具拆除及新做，配电箱、电缆、配管配线、开关插座、管道阀门、空调设备、风阀风口等新做;厨房设备、办公设备及办公家具的采购及安装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采购包1（高新二路瑞吉大厦办公楼装修改造工程）：属于专门面向中小企业采购。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工程及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法定代表人参加磋商只需提供法定代表人身份证）；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4、资质证书：供应商具有建筑装修装饰工程专业承包二级及以上资质，并具有有效的安全生产许可证；供应商需在项目电子化交易系统中按要求上传相应证明文件并进行电子签章。</w:t>
      </w:r>
    </w:p>
    <w:p>
      <w:pPr>
        <w:pStyle w:val="null3"/>
      </w:pPr>
      <w:r>
        <w:rPr>
          <w:rFonts w:ascii="仿宋_GB2312" w:hAnsi="仿宋_GB2312" w:cs="仿宋_GB2312" w:eastAsia="仿宋_GB2312"/>
        </w:rPr>
        <w:t>5、项目经理：项目经理须具备建筑工程专业二级及以上注册建造师资格,具有有效的安全生产考核合格证书（建安B证），且未担任其他在建工程项目的声明；供应商需在项目电子化交易系统中按要求上传相应证明文件并进行电子签章。</w:t>
      </w:r>
    </w:p>
    <w:p>
      <w:pPr>
        <w:pStyle w:val="null3"/>
      </w:pPr>
      <w:r>
        <w:rPr>
          <w:rFonts w:ascii="仿宋_GB2312" w:hAnsi="仿宋_GB2312" w:cs="仿宋_GB2312" w:eastAsia="仿宋_GB2312"/>
        </w:rPr>
        <w:t>6、中小企业声明函：供应商为中小企业的，应提供《中小企业声明函》；供应商为残疾人福利性单位的，应提供《残疾人福利性单位声明函》；供应商为监狱企业的，应提供《监狱企业证明函》；供应商需在项目电子化交易系统中按要求上传相应证明文件并进行电子签章。</w:t>
      </w:r>
    </w:p>
    <w:p>
      <w:pPr>
        <w:pStyle w:val="null3"/>
      </w:pPr>
      <w:r>
        <w:rPr>
          <w:rFonts w:ascii="仿宋_GB2312" w:hAnsi="仿宋_GB2312" w:cs="仿宋_GB2312" w:eastAsia="仿宋_GB2312"/>
        </w:rPr>
        <w:t>7、非联合体磋商：非联合体磋商声明;供应商需在项目电子化交易系统中按要求上传相应证明文件并进行电子签章。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西安高新技术产业开发区财政金融局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西安市长安区纬三十六路丝路创智谷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029-81887203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齐莎莎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采购包1：3,437,540.44元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和发改办价格〔2003〕857号以及发改价格〔2011〕534号文中规定的标准执行，按差额定率累进法收取费用，100万以下按1.0%收取，100万-500万按0.7%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西安高新技术产业开发区财政金融局</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西安高新技术产业开发区财政金融局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西安高新技术产业开发区财政金融局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一、符合国家、地方及行业合格标准。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联系人：齐莎莎</w:t>
      </w:r>
    </w:p>
    <w:p>
      <w:pPr>
        <w:pStyle w:val="null3"/>
      </w:pPr>
      <w:r>
        <w:rPr>
          <w:rFonts w:ascii="仿宋_GB2312" w:hAnsi="仿宋_GB2312" w:cs="仿宋_GB2312" w:eastAsia="仿宋_GB2312"/>
        </w:rPr>
        <w:t>联系电话：029-82286063</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3,437,540.44</w:t>
      </w:r>
    </w:p>
    <w:p>
      <w:pPr>
        <w:pStyle w:val="null3"/>
      </w:pPr>
      <w:r>
        <w:rPr>
          <w:rFonts w:ascii="仿宋_GB2312" w:hAnsi="仿宋_GB2312" w:cs="仿宋_GB2312" w:eastAsia="仿宋_GB2312"/>
        </w:rPr>
        <w:t>采购包最高限价（元）: 3,437,540.44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高新二路瑞吉大厦办公楼装修改造工程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3,437,540.44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标的名称：高新二路瑞吉大厦办公楼装修改造工程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6"/>
            </w:pPr>
            <w:r>
              <w:rPr>
                <w:rFonts w:ascii="仿宋_GB2312" w:hAnsi="仿宋_GB2312" w:cs="仿宋_GB2312" w:eastAsia="仿宋_GB2312"/>
                <w:sz w:val="24"/>
                <w:b/>
              </w:rPr>
              <w:t>一、施工内容</w:t>
            </w:r>
          </w:p>
          <w:p>
            <w:pPr>
              <w:pStyle w:val="null3"/>
              <w:ind w:firstLine="484"/>
            </w:pPr>
            <w:r>
              <w:rPr>
                <w:rFonts w:ascii="仿宋_GB2312" w:hAnsi="仿宋_GB2312" w:cs="仿宋_GB2312" w:eastAsia="仿宋_GB2312"/>
                <w:sz w:val="24"/>
              </w:rPr>
              <w:t>本工程主要内容包括办公楼原有地面、墙面、顶面等拆除及新做，屋面翻新改造，原有混凝土楼梯拆除、新作钢楼梯等</w:t>
            </w:r>
            <w:r>
              <w:rPr>
                <w:rFonts w:ascii="仿宋_GB2312" w:hAnsi="仿宋_GB2312" w:cs="仿宋_GB2312" w:eastAsia="仿宋_GB2312"/>
                <w:sz w:val="24"/>
              </w:rPr>
              <w:t>;卫生洁具拆除及新做，配电箱、电缆、配管配线、开关插座、管道阀门、空调设备、风阀风口等新做;厨房设备、办公设备及办公家具的采购及安装等。</w:t>
            </w:r>
          </w:p>
          <w:p>
            <w:pPr>
              <w:pStyle w:val="null3"/>
              <w:ind w:firstLine="486"/>
            </w:pPr>
            <w:r>
              <w:rPr>
                <w:rFonts w:ascii="仿宋_GB2312" w:hAnsi="仿宋_GB2312" w:cs="仿宋_GB2312" w:eastAsia="仿宋_GB2312"/>
                <w:sz w:val="24"/>
                <w:b/>
              </w:rPr>
              <w:t>二、实施地点</w:t>
            </w:r>
            <w:r>
              <w:rPr>
                <w:rFonts w:ascii="仿宋_GB2312" w:hAnsi="仿宋_GB2312" w:cs="仿宋_GB2312" w:eastAsia="仿宋_GB2312"/>
                <w:sz w:val="24"/>
              </w:rPr>
              <w:t>：西安市高新区高新二路瑞吉大厦</w:t>
            </w:r>
          </w:p>
          <w:p>
            <w:pPr>
              <w:pStyle w:val="null3"/>
              <w:ind w:firstLine="486"/>
            </w:pPr>
            <w:r>
              <w:rPr>
                <w:rFonts w:ascii="仿宋_GB2312" w:hAnsi="仿宋_GB2312" w:cs="仿宋_GB2312" w:eastAsia="仿宋_GB2312"/>
                <w:sz w:val="24"/>
                <w:b/>
              </w:rPr>
              <w:t>三</w:t>
            </w:r>
            <w:r>
              <w:rPr>
                <w:rFonts w:ascii="仿宋_GB2312" w:hAnsi="仿宋_GB2312" w:cs="仿宋_GB2312" w:eastAsia="仿宋_GB2312"/>
                <w:sz w:val="24"/>
                <w:b/>
              </w:rPr>
              <w:t>、项目要求：</w:t>
            </w:r>
          </w:p>
          <w:p>
            <w:pPr>
              <w:pStyle w:val="null3"/>
              <w:ind w:firstLine="484"/>
            </w:pPr>
            <w:r>
              <w:rPr>
                <w:rFonts w:ascii="仿宋_GB2312" w:hAnsi="仿宋_GB2312" w:cs="仿宋_GB2312" w:eastAsia="仿宋_GB2312"/>
                <w:sz w:val="24"/>
              </w:rPr>
              <w:t>1、</w:t>
            </w:r>
            <w:r>
              <w:rPr>
                <w:rFonts w:ascii="仿宋_GB2312" w:hAnsi="仿宋_GB2312" w:cs="仿宋_GB2312" w:eastAsia="仿宋_GB2312"/>
                <w:sz w:val="24"/>
              </w:rPr>
              <w:t>工程质量目标</w:t>
            </w:r>
            <w:r>
              <w:rPr>
                <w:rFonts w:ascii="仿宋_GB2312" w:hAnsi="仿宋_GB2312" w:cs="仿宋_GB2312" w:eastAsia="仿宋_GB2312"/>
                <w:sz w:val="24"/>
              </w:rPr>
              <w:t>:</w:t>
            </w:r>
            <w:r>
              <w:rPr>
                <w:rFonts w:ascii="仿宋_GB2312" w:hAnsi="仿宋_GB2312" w:cs="仿宋_GB2312" w:eastAsia="仿宋_GB2312"/>
                <w:sz w:val="24"/>
              </w:rPr>
              <w:t>达到国家、省市或相关行业</w:t>
            </w:r>
            <w:r>
              <w:rPr>
                <w:rFonts w:ascii="仿宋_GB2312" w:hAnsi="仿宋_GB2312" w:cs="仿宋_GB2312" w:eastAsia="仿宋_GB2312"/>
                <w:sz w:val="24"/>
              </w:rPr>
              <w:t>规范</w:t>
            </w:r>
            <w:r>
              <w:rPr>
                <w:rFonts w:ascii="仿宋_GB2312" w:hAnsi="仿宋_GB2312" w:cs="仿宋_GB2312" w:eastAsia="仿宋_GB2312"/>
                <w:sz w:val="24"/>
              </w:rPr>
              <w:t>“合格”标准要求</w:t>
            </w:r>
            <w:r>
              <w:rPr>
                <w:rFonts w:ascii="仿宋_GB2312" w:hAnsi="仿宋_GB2312" w:cs="仿宋_GB2312" w:eastAsia="仿宋_GB2312"/>
                <w:sz w:val="24"/>
              </w:rPr>
              <w:t>。</w:t>
            </w:r>
          </w:p>
          <w:p>
            <w:pPr>
              <w:pStyle w:val="null3"/>
              <w:ind w:firstLine="484"/>
            </w:pPr>
            <w:r>
              <w:rPr>
                <w:rFonts w:ascii="仿宋_GB2312" w:hAnsi="仿宋_GB2312" w:cs="仿宋_GB2312" w:eastAsia="仿宋_GB2312"/>
                <w:sz w:val="24"/>
              </w:rPr>
              <w:t>2、安全生产目标</w:t>
            </w:r>
            <w:r>
              <w:rPr>
                <w:rFonts w:ascii="仿宋_GB2312" w:hAnsi="仿宋_GB2312" w:cs="仿宋_GB2312" w:eastAsia="仿宋_GB2312"/>
                <w:sz w:val="24"/>
              </w:rPr>
              <w:t>:无伤亡事故、无重大机械事故、无扬尘、无噪音扰民。</w:t>
            </w:r>
          </w:p>
          <w:p>
            <w:pPr>
              <w:pStyle w:val="null3"/>
              <w:ind w:firstLine="526"/>
            </w:pP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工期及质保期</w:t>
            </w:r>
            <w:r>
              <w:rPr>
                <w:rFonts w:ascii="仿宋_GB2312" w:hAnsi="仿宋_GB2312" w:cs="仿宋_GB2312" w:eastAsia="仿宋_GB2312"/>
                <w:sz w:val="24"/>
                <w:b/>
              </w:rPr>
              <w:t>：</w:t>
            </w:r>
          </w:p>
          <w:p>
            <w:pPr>
              <w:pStyle w:val="null3"/>
              <w:ind w:firstLine="484"/>
            </w:pPr>
            <w:r>
              <w:rPr>
                <w:rFonts w:ascii="仿宋_GB2312" w:hAnsi="仿宋_GB2312" w:cs="仿宋_GB2312" w:eastAsia="仿宋_GB2312"/>
                <w:sz w:val="24"/>
              </w:rPr>
              <w:t>1、工期：自合同签订之日起90日历日</w:t>
            </w:r>
            <w:r>
              <w:rPr>
                <w:rFonts w:ascii="仿宋_GB2312" w:hAnsi="仿宋_GB2312" w:cs="仿宋_GB2312" w:eastAsia="仿宋_GB2312"/>
                <w:sz w:val="24"/>
              </w:rPr>
              <w:t>。</w:t>
            </w:r>
          </w:p>
          <w:p>
            <w:pPr>
              <w:pStyle w:val="null3"/>
              <w:ind w:firstLine="484"/>
            </w:pPr>
            <w:r>
              <w:rPr>
                <w:rFonts w:ascii="仿宋_GB2312" w:hAnsi="仿宋_GB2312" w:cs="仿宋_GB2312" w:eastAsia="仿宋_GB2312"/>
                <w:sz w:val="24"/>
              </w:rPr>
              <w:t>2、质保期</w:t>
            </w:r>
            <w:r>
              <w:rPr>
                <w:rFonts w:ascii="仿宋_GB2312" w:hAnsi="仿宋_GB2312" w:cs="仿宋_GB2312" w:eastAsia="仿宋_GB2312"/>
                <w:sz w:val="24"/>
              </w:rPr>
              <w:t>：自工程竣工验收合格之日起</w:t>
            </w:r>
            <w:r>
              <w:rPr>
                <w:rFonts w:ascii="仿宋_GB2312" w:hAnsi="仿宋_GB2312" w:cs="仿宋_GB2312" w:eastAsia="仿宋_GB2312"/>
                <w:sz w:val="24"/>
              </w:rPr>
              <w:t>2</w:t>
            </w:r>
            <w:r>
              <w:rPr>
                <w:rFonts w:ascii="仿宋_GB2312" w:hAnsi="仿宋_GB2312" w:cs="仿宋_GB2312" w:eastAsia="仿宋_GB2312"/>
                <w:sz w:val="24"/>
              </w:rPr>
              <w:t>年。</w:t>
            </w:r>
          </w:p>
          <w:p>
            <w:pPr>
              <w:pStyle w:val="null3"/>
              <w:ind w:firstLine="486"/>
            </w:pPr>
            <w:r>
              <w:rPr>
                <w:rFonts w:ascii="仿宋_GB2312" w:hAnsi="仿宋_GB2312" w:cs="仿宋_GB2312" w:eastAsia="仿宋_GB2312"/>
                <w:sz w:val="24"/>
                <w:b/>
              </w:rPr>
              <w:t>五</w:t>
            </w:r>
            <w:r>
              <w:rPr>
                <w:rFonts w:ascii="仿宋_GB2312" w:hAnsi="仿宋_GB2312" w:cs="仿宋_GB2312" w:eastAsia="仿宋_GB2312"/>
                <w:sz w:val="24"/>
                <w:b/>
              </w:rPr>
              <w:t>、安全</w:t>
            </w:r>
            <w:r>
              <w:rPr>
                <w:rFonts w:ascii="仿宋_GB2312" w:hAnsi="仿宋_GB2312" w:cs="仿宋_GB2312" w:eastAsia="仿宋_GB2312"/>
                <w:sz w:val="24"/>
                <w:b/>
              </w:rPr>
              <w:t>技术</w:t>
            </w:r>
            <w:r>
              <w:rPr>
                <w:rFonts w:ascii="仿宋_GB2312" w:hAnsi="仿宋_GB2312" w:cs="仿宋_GB2312" w:eastAsia="仿宋_GB2312"/>
                <w:sz w:val="24"/>
                <w:b/>
              </w:rPr>
              <w:t>要求</w:t>
            </w:r>
          </w:p>
          <w:p>
            <w:pPr>
              <w:pStyle w:val="null3"/>
              <w:ind w:firstLine="484"/>
            </w:pPr>
            <w:r>
              <w:rPr>
                <w:rFonts w:ascii="仿宋_GB2312" w:hAnsi="仿宋_GB2312" w:cs="仿宋_GB2312" w:eastAsia="仿宋_GB2312"/>
                <w:sz w:val="24"/>
              </w:rPr>
              <w:t>遵守工程建设安全生产有关管理规定，严格按安全标准组织施工，采取必要的安全生产措施，消除事故隐患。安全措施不力造成事故责任和发生的费用由成交供应商承担。</w:t>
            </w:r>
          </w:p>
          <w:p>
            <w:pPr>
              <w:pStyle w:val="null3"/>
              <w:ind w:firstLine="486"/>
            </w:pPr>
            <w:r>
              <w:rPr>
                <w:rFonts w:ascii="仿宋_GB2312" w:hAnsi="仿宋_GB2312" w:cs="仿宋_GB2312" w:eastAsia="仿宋_GB2312"/>
                <w:sz w:val="24"/>
                <w:b/>
              </w:rPr>
              <w:t>六</w:t>
            </w:r>
            <w:r>
              <w:rPr>
                <w:rFonts w:ascii="仿宋_GB2312" w:hAnsi="仿宋_GB2312" w:cs="仿宋_GB2312" w:eastAsia="仿宋_GB2312"/>
                <w:sz w:val="24"/>
                <w:b/>
              </w:rPr>
              <w:t>、工程施工基本要求</w:t>
            </w:r>
          </w:p>
          <w:p>
            <w:pPr>
              <w:pStyle w:val="null3"/>
              <w:ind w:firstLine="484"/>
            </w:pPr>
            <w:r>
              <w:rPr>
                <w:rFonts w:ascii="仿宋_GB2312" w:hAnsi="仿宋_GB2312" w:cs="仿宋_GB2312" w:eastAsia="仿宋_GB2312"/>
                <w:sz w:val="24"/>
              </w:rPr>
              <w:t>严格按国家有关规定做到文明施工，规范施工，严格把好各道施工工序的质量，确保工程质量，并按要求如期完成工程建设，编制施工组织设计方案，确保工程按时优质完成，编制总进度计划，合理安排劳动力、物力、财力，尽量做到综合平衡配套施工，确保工程顺利完成。</w:t>
            </w:r>
          </w:p>
          <w:p>
            <w:pPr>
              <w:pStyle w:val="null3"/>
              <w:ind w:firstLine="484"/>
            </w:pPr>
            <w:r>
              <w:rPr>
                <w:rFonts w:ascii="仿宋_GB2312" w:hAnsi="仿宋_GB2312" w:cs="仿宋_GB2312" w:eastAsia="仿宋_GB2312"/>
                <w:sz w:val="24"/>
                <w:b/>
              </w:rPr>
              <w:t>七、</w:t>
            </w:r>
            <w:r>
              <w:rPr>
                <w:rFonts w:ascii="仿宋_GB2312" w:hAnsi="仿宋_GB2312" w:cs="仿宋_GB2312" w:eastAsia="仿宋_GB2312"/>
                <w:sz w:val="24"/>
                <w:b/>
              </w:rPr>
              <w:t>其他要求</w:t>
            </w:r>
          </w:p>
          <w:p>
            <w:pPr>
              <w:pStyle w:val="null3"/>
              <w:ind w:firstLine="484"/>
            </w:pPr>
            <w:r>
              <w:rPr>
                <w:rFonts w:ascii="仿宋_GB2312" w:hAnsi="仿宋_GB2312" w:cs="仿宋_GB2312" w:eastAsia="仿宋_GB2312"/>
                <w:sz w:val="24"/>
              </w:rPr>
              <w:t>1、项目完工后，供应商需对室内除甲醛，并邀请第三方检测机构对室内空气质量进行复检，甲醛浓度检测需达到国家及相关行业安全标准范围内，并出具检测报告。</w:t>
            </w:r>
          </w:p>
          <w:p>
            <w:pPr>
              <w:pStyle w:val="null3"/>
            </w:pPr>
            <w:r>
              <w:rPr>
                <w:rFonts w:ascii="仿宋_GB2312" w:hAnsi="仿宋_GB2312" w:cs="仿宋_GB2312" w:eastAsia="仿宋_GB2312"/>
                <w:sz w:val="24"/>
              </w:rPr>
              <w:t xml:space="preserve">    2、空气检测费和除甲醛费用由供应商自行承担。</w:t>
            </w:r>
          </w:p>
          <w:p>
            <w:pPr>
              <w:pStyle w:val="null3"/>
            </w:pPr>
            <w:r>
              <w:rPr>
                <w:rFonts w:ascii="仿宋_GB2312" w:hAnsi="仿宋_GB2312" w:cs="仿宋_GB2312" w:eastAsia="仿宋_GB2312"/>
                <w:sz w:val="24"/>
              </w:rPr>
              <w:t xml:space="preserve">    3、供应商根据工程量清单提供厨房设备、办公设备及办公家具，并进行安装调试，同时提供培训及售后服务，确保采购人能正常使用。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《建筑装饰装修工程质量验收规范》 《建筑工程施工质量验收统一标准》 《混凝土结构工程施工及验收规范》 《电气装置安装工程电器照明装置施工及验收规范》 以及其它相关施工技术规范，未详尽处应满足国家有关规范和规定，所有的规范执行最高规定。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3.3.1付款方式及依据： ①付款方式：合同签订后采购人向供应商支付合同暂定金额30%预付款，工程全部完工并由采购人验收合格并确认后，支付至合同暂定金额的80%，待结算审核完成后支付至结算金额的97%，剩余3%作为质保金，质保金在缺陷责任期(24个月)满后一次性无息支付。 ②付款依据：等额发票、验收报告或相关证明材料。 注：工程结算以财政结算审定价款据实结算。 3.3.2本项目磋商总报价为完成本项目磋商文件中所提出的工作范围及要求的全部内容，并达到国家及采购人验收标准而产生的所有费用，磋商报价包括但不限于以下内容：包括货物价款(含通常配备的备品备件、易损件）、包装费、运杂费（含保险费）、装卸费、安装调试费、售后服务费、人工费、材料费、机械费、措施费、管理费、利润、规费、税金、风险、工程保险费、招标代理服务费、防污治霾费等完成本项目所产生的一切费用。任何错报、漏报由供应商自行负责。 3.3.3清单编制依据：《陕西省建设工程工程量清单计价规则(2009)》《陕西省建筑装饰工程消耗量定额(2004)》《陕西省安装工程消耗量定额(2004)》《陕西省园林绿化消耗量定额(2004)》及其补充定额，《陕西省建筑装饰工程价目表(2009)》《陕西省安装工程价目表(2009)》《陕西省园林绿化工程价目表(2009)》及配套计价费率、相关政策性文件。 3.3.4广联达计价软件版本号：GCCP6.4100.23.122。 3.3.5成交人领取成交通知书时须向代理机构提交纸质版磋商响应文件：正本壹份、副本贰份、电子版（U盘）贰份。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工程及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法定代表人授权委托书（附法定代表人身份证复印件）及被授权委托人身份证（法定代表人参加磋商只需提供法定代表人身份证）；供应商需在项目电子化交易系统中按要求上传相应证明文件并进行电子签章。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供应商具有建筑装修装饰工程专业承包二级及以上资质，并具有有效的安全生产许可证；供应商需在项目电子化交易系统中按要求上传相应证明文件并进行电子签章。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备建筑工程专业二级及以上注册建造师资格,具有有效的安全生产考核合格证书（建安B证），且未担任其他在建工程项目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为中小企业的，应提供《中小企业声明函》；供应商为残疾人福利性单位的，应提供《残疾人福利性单位声明函》；供应商为监狱企业的，应提供《监狱企业证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通过符合性审查供应商的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报价一览表 已标价工程量清单 中小企业声明函 技术标 技术服务合同条款及其他商务要求应答表 响应文件封面 资格证明文件 政府采购供应商拒绝政府采购领域商业贿赂承诺书 残疾人福利性单位声明函 报价函 标的清单 厨房设备信息表 供应商承诺书 响应函 业绩证明文件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响应文件有磋商响应有效期且响应有效期达到磋商文件的要求；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供应商针对同一工程及服务未递交两份或多份内容不同的响应文件，未出现选择性报价；</w:t>
            </w:r>
          </w:p>
        </w:tc>
        <w:tc>
          <w:tcPr>
            <w:tcW w:type="dxa" w:w="1661"/>
          </w:tcPr>
          <w:p>
            <w:pPr>
              <w:pStyle w:val="null3"/>
            </w:pPr>
            <w:r>
              <w:rPr>
                <w:rFonts w:ascii="仿宋_GB2312" w:hAnsi="仿宋_GB2312" w:cs="仿宋_GB2312" w:eastAsia="仿宋_GB2312"/>
              </w:rPr>
              <w:t>报价一览表 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已标价工程量清单 技术标 报价函 技术服务合同条款及其他商务要求应答表 标的清单 业绩证明文件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报价一览表 已标价工程量清单 中小企业声明函 技术标 技术服务合同条款及其他商务要求应答表 响应文件封面 资格证明文件 政府采购供应商拒绝政府采购领域商业贿赂承诺书 残疾人福利性单位声明函 报价函 标的清单 厨房设备信息表 供应商承诺书 响应函 业绩证明文件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报价一览表 已标价工程量清单 中小企业声明函 技术标 技术服务合同条款及其他商务要求应答表 响应文件封面 资格证明文件 政府采购供应商拒绝政府采购领域商业贿赂承诺书 残疾人福利性单位声明函 报价函 标的清单 厨房设备信息表 供应商承诺书 响应函 业绩证明文件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报价一览表 已标价工程量清单 中小企业声明函 技术标 技术服务合同条款及其他商务要求应答表 响应文件封面 资格证明文件 政府采购供应商拒绝政府采购领域商业贿赂承诺书 残疾人福利性单位声明函 报价函 标的清单 厨房设备信息表 供应商承诺书 响应函 业绩证明文件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方案总体思路清晰、合理、可操作性强、可执行程度强，且能很好推动项目实施得8～12（含）分；方案总体思路基本明确、可行性、合理性高得4～8(含)分；方案思路模糊、可行性、合理性一般得0～4(含)分。]本项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项目经理部组成及劳动力投入，人员搭配合理，数量充足，经验丰富，证明材料详尽计4～8（含）分，人员搭配较为合理，数量较充足，经验不足，证明材料不够详尽计0～4（含）分，本项满分8分；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施工机械及工器具的配备情况</w:t>
            </w:r>
          </w:p>
        </w:tc>
        <w:tc>
          <w:tcPr>
            <w:tcW w:type="dxa" w:w="2492"/>
          </w:tcPr>
          <w:p>
            <w:pPr>
              <w:pStyle w:val="null3"/>
            </w:pPr>
            <w:r>
              <w:rPr>
                <w:rFonts w:ascii="仿宋_GB2312" w:hAnsi="仿宋_GB2312" w:cs="仿宋_GB2312" w:eastAsia="仿宋_GB2312"/>
              </w:rPr>
              <w:t>施工机械及工器具的配备情况，机械、设备安排合理、完整计3～6（含）分，机械、设备安排简单计0～3（含）分，本项满分6分；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确保本项目质量的技术组织措施</w:t>
            </w:r>
          </w:p>
        </w:tc>
        <w:tc>
          <w:tcPr>
            <w:tcW w:type="dxa" w:w="2492"/>
          </w:tcPr>
          <w:p>
            <w:pPr>
              <w:pStyle w:val="null3"/>
            </w:pPr>
            <w:r>
              <w:rPr>
                <w:rFonts w:ascii="仿宋_GB2312" w:hAnsi="仿宋_GB2312" w:cs="仿宋_GB2312" w:eastAsia="仿宋_GB2312"/>
              </w:rPr>
              <w:t>确保本项目质量的技术组织措施，措施内容科学可行、有针对性且内容详细计4～8（含）分，措施内容较为可行、针对性不强、内容简单计0～4（含）分，本项满分8分；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确保治污减霾和防尘污染的技术组织措施</w:t>
            </w:r>
          </w:p>
        </w:tc>
        <w:tc>
          <w:tcPr>
            <w:tcW w:type="dxa" w:w="2492"/>
          </w:tcPr>
          <w:p>
            <w:pPr>
              <w:pStyle w:val="null3"/>
            </w:pPr>
            <w:r>
              <w:rPr>
                <w:rFonts w:ascii="仿宋_GB2312" w:hAnsi="仿宋_GB2312" w:cs="仿宋_GB2312" w:eastAsia="仿宋_GB2312"/>
              </w:rPr>
              <w:t>确保治污减霾和防尘污染的技术组织措施，措施内容科学可行、有针对性且内容详细计3～7（含）分，措施内容较为可行、针对性不强、内容简单计0～3（含）分，本项满分7分；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确保安全生产和文明施工的技术组织措施</w:t>
            </w:r>
          </w:p>
        </w:tc>
        <w:tc>
          <w:tcPr>
            <w:tcW w:type="dxa" w:w="2492"/>
          </w:tcPr>
          <w:p>
            <w:pPr>
              <w:pStyle w:val="null3"/>
            </w:pPr>
            <w:r>
              <w:rPr>
                <w:rFonts w:ascii="仿宋_GB2312" w:hAnsi="仿宋_GB2312" w:cs="仿宋_GB2312" w:eastAsia="仿宋_GB2312"/>
              </w:rPr>
              <w:t>确保安全生产和文明施工的技术组织措施，措施内容科学可行、有针对性且内容详细计4～8（含）分，措施内容较为可行、针对性不强、内容简单计0～4（含）分，本项满分8分；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确保工期的技术组织措施，措施内容科学可行、有针对性且内容详细计4～8（含）分，措施内容较为可行、针对性不强、内容简单计0～4（含）分，本项满分8分；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施工进度表或施工网络图，根据进度表或网络图结构清晰、安排科学合理响应程度计0～4（含）分，本项满分4分。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货物相关资料</w:t>
            </w:r>
          </w:p>
        </w:tc>
        <w:tc>
          <w:tcPr>
            <w:tcW w:type="dxa" w:w="2492"/>
          </w:tcPr>
          <w:p>
            <w:pPr>
              <w:pStyle w:val="null3"/>
            </w:pPr>
            <w:r>
              <w:rPr>
                <w:rFonts w:ascii="仿宋_GB2312" w:hAnsi="仿宋_GB2312" w:cs="仿宋_GB2312" w:eastAsia="仿宋_GB2312"/>
              </w:rPr>
              <w:t>提供所投货物合法来源证明文件、产品质量合格相关证明材料及售后服务保障方案，根据响应程度计0～4（含）分，本项满分4分。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提供供应商2022年以来类似项目业绩合同（以合同签订时间为准），每份计1分，满分5分。（注：以上证明文件在磋商响应文件中附业绩合同扫描件并加盖公章）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详见附件：厨房设备信息表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详见附件：技术标</w:t>
      </w:r>
    </w:p>
    <w:p>
      <w:pPr>
        <w:pStyle w:val="null3"/>
        <w:ind w:firstLine="960"/>
      </w:pPr>
      <w:r>
        <w:rPr>
          <w:rFonts w:ascii="仿宋_GB2312" w:hAnsi="仿宋_GB2312" w:cs="仿宋_GB2312" w:eastAsia="仿宋_GB2312"/>
        </w:rPr>
        <w:t>详见附件：报价一览表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