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版本号：DCZX2025-ZCCS-HW106420250716001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空调设备采购项目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DCZX2025-ZCCS-HW1064</w:t>
      </w:r>
      <w:r>
        <w:br/>
      </w:r>
      <w:r>
        <w:br/>
      </w:r>
      <w:r>
        <w:br/>
      </w:r>
    </w:p>
    <w:p>
      <w:pPr>
        <w:pStyle w:val="null3"/>
        <w:jc w:val="center"/>
        <w:outlineLvl w:val="2"/>
      </w:pPr>
      <w:r>
        <w:rPr>
          <w:rFonts w:ascii="仿宋_GB2312" w:hAnsi="仿宋_GB2312" w:cs="仿宋_GB2312" w:eastAsia="仿宋_GB2312"/>
          <w:sz w:val="28"/>
          <w:b/>
        </w:rPr>
        <w:t>西安市高新逸翠园初级中学</w:t>
      </w:r>
    </w:p>
    <w:p>
      <w:pPr>
        <w:pStyle w:val="null3"/>
        <w:jc w:val="center"/>
        <w:outlineLvl w:val="2"/>
      </w:pPr>
      <w:r>
        <w:rPr>
          <w:rFonts w:ascii="仿宋_GB2312" w:hAnsi="仿宋_GB2312" w:cs="仿宋_GB2312" w:eastAsia="仿宋_GB2312"/>
          <w:sz w:val="28"/>
          <w:b/>
        </w:rPr>
        <w:t>陕西鼎成项目管理咨询有限公司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2025年07月16日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陕西鼎成项目管理咨询有限公司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西安市高新逸翠园初级中学</w:t>
      </w:r>
      <w:r>
        <w:rPr>
          <w:rFonts w:ascii="仿宋_GB2312" w:hAnsi="仿宋_GB2312" w:cs="仿宋_GB2312" w:eastAsia="仿宋_GB2312"/>
        </w:rPr>
        <w:t>委托，拟对</w:t>
      </w:r>
      <w:r>
        <w:rPr>
          <w:rFonts w:ascii="仿宋_GB2312" w:hAnsi="仿宋_GB2312" w:cs="仿宋_GB2312" w:eastAsia="仿宋_GB2312"/>
        </w:rPr>
        <w:t>空调设备采购项目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DCZX2025-ZCCS-HW1064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空调设备采购项目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为满足教学及办公需求，采购空调。</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1、身份证明：身份证明：法定代表人授权书（法定代表人直接参加磋商，须提供法定代表人身份证明）注：被授权人参与磋商时，须提供被授权人近六个月内任意一个月在本单位缴纳的社保证明；</w:t>
      </w:r>
    </w:p>
    <w:p>
      <w:pPr>
        <w:pStyle w:val="null3"/>
      </w:pPr>
      <w:r>
        <w:rPr>
          <w:rFonts w:ascii="仿宋_GB2312" w:hAnsi="仿宋_GB2312" w:cs="仿宋_GB2312" w:eastAsia="仿宋_GB2312"/>
        </w:rPr>
        <w:t>2、非联合体声明：本项目不接受联合体投标。</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西安市高新逸翠园初级中学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西安高新区唐延南路交通辅道76号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13192196190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陕西鼎成项目管理咨询有限公司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陕西省西安市高新区高新路88号尚品国际B座7层703室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彭宏飞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029-81773523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西安市高新技术开发区政府采购财政金融局</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胥老师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029-88333950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采购包1：686,648.00元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空调设备</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空调设备</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空调设备</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1、参照国家计委颁发的《招标代理服务收费管理暂行办法》（计价格[2002]1980号）和国家发展改革委员会办公厅颁发的《关于招标代理服务收费有关问题的通知》(发改办价格[2003]857号）的有关规定执行。 2、成交单位在领取成交通知书前，须向采购代理机构一次性支付采购代理服务费。 代理费缴存账户： 开户名称：陕西鼎成项目管理咨询有限公司 开户银行：中国民生银行西安枫林绿洲支行 账号：171277297 （备注：项目编号+代理服务费） 3、成交供应商在领取成交通知书时须携带法定代表人授权书及加盖单位公章的被授权人身份证复印件，并携带身份证原件。</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西安市高新逸翠园初级中学</w:t>
      </w:r>
      <w:r>
        <w:rPr>
          <w:rFonts w:ascii="仿宋_GB2312" w:hAnsi="仿宋_GB2312" w:cs="仿宋_GB2312" w:eastAsia="仿宋_GB2312"/>
        </w:rPr>
        <w:t>和</w:t>
      </w:r>
      <w:r>
        <w:rPr>
          <w:rFonts w:ascii="仿宋_GB2312" w:hAnsi="仿宋_GB2312" w:cs="仿宋_GB2312" w:eastAsia="仿宋_GB2312"/>
        </w:rPr>
        <w:t>陕西鼎成项目管理咨询有限公司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西安市高新逸翠园初级中学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陕西鼎成项目管理咨询有限公司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陕西鼎成项目管理咨询有限公司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陕西鼎成项目管理咨询有限公司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联系人：彭宏飞</w:t>
      </w:r>
    </w:p>
    <w:p>
      <w:pPr>
        <w:pStyle w:val="null3"/>
      </w:pPr>
      <w:r>
        <w:rPr>
          <w:rFonts w:ascii="仿宋_GB2312" w:hAnsi="仿宋_GB2312" w:cs="仿宋_GB2312" w:eastAsia="仿宋_GB2312"/>
        </w:rPr>
        <w:t>联系电话：029-81773523</w:t>
      </w:r>
    </w:p>
    <w:p>
      <w:pPr>
        <w:pStyle w:val="null3"/>
      </w:pPr>
      <w:r>
        <w:rPr>
          <w:rFonts w:ascii="仿宋_GB2312" w:hAnsi="仿宋_GB2312" w:cs="仿宋_GB2312" w:eastAsia="仿宋_GB2312"/>
        </w:rPr>
        <w:t>地址：陕西省西安市高新区高新路88号尚品国际B座7层703室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为满足教学及办公需求，采购空调。</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686,648.00</w:t>
      </w:r>
    </w:p>
    <w:p>
      <w:pPr>
        <w:pStyle w:val="null3"/>
      </w:pPr>
      <w:r>
        <w:rPr>
          <w:rFonts w:ascii="仿宋_GB2312" w:hAnsi="仿宋_GB2312" w:cs="仿宋_GB2312" w:eastAsia="仿宋_GB2312"/>
        </w:rPr>
        <w:t>采购包最高限价（元）: 686,648.00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空调</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686,648.00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标的名称：空调</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129"/>
              <w:gridCol w:w="197"/>
              <w:gridCol w:w="467"/>
              <w:gridCol w:w="405"/>
              <w:gridCol w:w="143"/>
              <w:gridCol w:w="166"/>
            </w:tblGrid>
            <w:tr>
              <w:tc>
                <w:tcPr>
                  <w:tcW w:type="dxa" w:w="12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197"/>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872"/>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参数及性能</w:t>
                  </w:r>
                </w:p>
              </w:tc>
              <w:tc>
                <w:tcPr>
                  <w:tcW w:type="dxa" w:w="143"/>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16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r>
            <w:tr>
              <w:tc>
                <w:tcPr>
                  <w:tcW w:type="dxa" w:w="129"/>
                  <w:vMerge/>
                  <w:tcBorders>
                    <w:top w:val="single" w:color="000000" w:sz="4"/>
                    <w:left w:val="single" w:color="000000" w:sz="4"/>
                    <w:bottom w:val="single" w:color="000000" w:sz="4"/>
                    <w:right w:val="single" w:color="000000" w:sz="4"/>
                  </w:tcBorders>
                </w:tcPr>
                <w:p/>
              </w:tc>
              <w:tc>
                <w:tcPr>
                  <w:tcW w:type="dxa" w:w="197"/>
                  <w:vMerge/>
                  <w:tcBorders>
                    <w:top w:val="single" w:color="000000" w:sz="4"/>
                    <w:left w:val="none" w:color="000000" w:sz="4"/>
                    <w:bottom w:val="single" w:color="000000" w:sz="4"/>
                    <w:right w:val="single" w:color="000000" w:sz="4"/>
                  </w:tcBorders>
                </w:tcP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参数</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性能</w:t>
                  </w:r>
                </w:p>
              </w:tc>
              <w:tc>
                <w:tcPr>
                  <w:tcW w:type="dxa" w:w="143"/>
                  <w:vMerge/>
                  <w:tcBorders>
                    <w:top w:val="single" w:color="000000" w:sz="4"/>
                    <w:left w:val="none" w:color="000000" w:sz="4"/>
                    <w:bottom w:val="single" w:color="000000" w:sz="4"/>
                    <w:right w:val="single" w:color="000000" w:sz="4"/>
                  </w:tcBorders>
                </w:tcPr>
                <w:p/>
              </w:tc>
              <w:tc>
                <w:tcPr>
                  <w:tcW w:type="dxa" w:w="166"/>
                  <w:vMerge/>
                  <w:tcBorders>
                    <w:top w:val="single" w:color="000000" w:sz="4"/>
                    <w:left w:val="none" w:color="000000" w:sz="4"/>
                    <w:bottom w:val="single" w:color="000000" w:sz="4"/>
                    <w:right w:val="single" w:color="000000" w:sz="4"/>
                  </w:tcBorders>
                </w:tcP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3P挂机</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★1、变频冷暖型</w:t>
                  </w:r>
                </w:p>
                <w:p>
                  <w:pPr>
                    <w:pStyle w:val="null3"/>
                    <w:jc w:val="left"/>
                  </w:pPr>
                  <w:r>
                    <w:rPr>
                      <w:rFonts w:ascii="仿宋_GB2312" w:hAnsi="仿宋_GB2312" w:cs="仿宋_GB2312" w:eastAsia="仿宋_GB2312"/>
                      <w:sz w:val="24"/>
                      <w:color w:val="000000"/>
                    </w:rPr>
                    <w:t>★2、能效等级1级</w:t>
                  </w:r>
                </w:p>
                <w:p>
                  <w:pPr>
                    <w:pStyle w:val="null3"/>
                    <w:jc w:val="left"/>
                  </w:pPr>
                  <w:r>
                    <w:rPr>
                      <w:rFonts w:ascii="仿宋_GB2312" w:hAnsi="仿宋_GB2312" w:cs="仿宋_GB2312" w:eastAsia="仿宋_GB2312"/>
                      <w:sz w:val="24"/>
                      <w:color w:val="000000"/>
                    </w:rPr>
                    <w:t>▲3、额定制冷量：＞7290（790-9200）W</w:t>
                  </w:r>
                </w:p>
                <w:p>
                  <w:pPr>
                    <w:pStyle w:val="null3"/>
                    <w:jc w:val="left"/>
                  </w:pPr>
                  <w:r>
                    <w:rPr>
                      <w:rFonts w:ascii="仿宋_GB2312" w:hAnsi="仿宋_GB2312" w:cs="仿宋_GB2312" w:eastAsia="仿宋_GB2312"/>
                      <w:sz w:val="24"/>
                      <w:color w:val="000000"/>
                    </w:rPr>
                    <w:t>▲4、额定制热量：＞9750(790-11380) W</w:t>
                  </w:r>
                </w:p>
                <w:p>
                  <w:pPr>
                    <w:pStyle w:val="null3"/>
                    <w:jc w:val="left"/>
                  </w:pPr>
                  <w:r>
                    <w:rPr>
                      <w:rFonts w:ascii="仿宋_GB2312" w:hAnsi="仿宋_GB2312" w:cs="仿宋_GB2312" w:eastAsia="仿宋_GB2312"/>
                      <w:sz w:val="24"/>
                      <w:color w:val="000000"/>
                    </w:rPr>
                    <w:t>▲5、额定制冷功率：&lt;2050(350-3280）W</w:t>
                  </w:r>
                </w:p>
                <w:p>
                  <w:pPr>
                    <w:pStyle w:val="null3"/>
                    <w:jc w:val="left"/>
                  </w:pPr>
                  <w:r>
                    <w:rPr>
                      <w:rFonts w:ascii="仿宋_GB2312" w:hAnsi="仿宋_GB2312" w:cs="仿宋_GB2312" w:eastAsia="仿宋_GB2312"/>
                      <w:sz w:val="24"/>
                      <w:color w:val="000000"/>
                    </w:rPr>
                    <w:t>▲6、额定制热功率：&lt;2950（310-3980) W</w:t>
                  </w:r>
                </w:p>
                <w:p>
                  <w:pPr>
                    <w:pStyle w:val="null3"/>
                    <w:jc w:val="left"/>
                  </w:pPr>
                  <w:r>
                    <w:rPr>
                      <w:rFonts w:ascii="仿宋_GB2312" w:hAnsi="仿宋_GB2312" w:cs="仿宋_GB2312" w:eastAsia="仿宋_GB2312"/>
                      <w:sz w:val="24"/>
                      <w:color w:val="000000"/>
                    </w:rPr>
                    <w:t>▲7、辅助电加热PTC：&lt;1320W</w:t>
                  </w:r>
                </w:p>
                <w:p>
                  <w:pPr>
                    <w:pStyle w:val="null3"/>
                    <w:jc w:val="left"/>
                  </w:pPr>
                  <w:r>
                    <w:rPr>
                      <w:rFonts w:ascii="仿宋_GB2312" w:hAnsi="仿宋_GB2312" w:cs="仿宋_GB2312" w:eastAsia="仿宋_GB2312"/>
                      <w:sz w:val="24"/>
                      <w:color w:val="000000"/>
                    </w:rPr>
                    <w:t>▲8、内机噪音dB(A)(低风--高风)：&lt;23～48，外机噪音dB(A)：&lt;57</w:t>
                  </w:r>
                </w:p>
                <w:p>
                  <w:pPr>
                    <w:pStyle w:val="null3"/>
                    <w:jc w:val="left"/>
                  </w:pPr>
                  <w:r>
                    <w:rPr>
                      <w:rFonts w:ascii="仿宋_GB2312" w:hAnsi="仿宋_GB2312" w:cs="仿宋_GB2312" w:eastAsia="仿宋_GB2312"/>
                      <w:sz w:val="24"/>
                      <w:color w:val="000000"/>
                    </w:rPr>
                    <w:t>▲9、循环风量(m³/h)：＞1360</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1.循环大风量，快速冷暖，宽幅送风</w:t>
                  </w:r>
                  <w:r>
                    <w:br/>
                  </w:r>
                  <w:r>
                    <w:rPr>
                      <w:rFonts w:ascii="仿宋_GB2312" w:hAnsi="仿宋_GB2312" w:cs="仿宋_GB2312" w:eastAsia="仿宋_GB2312"/>
                      <w:sz w:val="24"/>
                      <w:color w:val="000000"/>
                    </w:rPr>
                    <w:t>2.独立除湿，智能化霜</w:t>
                  </w:r>
                  <w:r>
                    <w:br/>
                  </w:r>
                  <w:r>
                    <w:rPr>
                      <w:rFonts w:ascii="仿宋_GB2312" w:hAnsi="仿宋_GB2312" w:cs="仿宋_GB2312" w:eastAsia="仿宋_GB2312"/>
                      <w:sz w:val="24"/>
                      <w:color w:val="000000"/>
                    </w:rPr>
                    <w:t>3.智能+可控电辅热</w:t>
                  </w:r>
                  <w:r>
                    <w:br/>
                  </w:r>
                  <w:r>
                    <w:rPr>
                      <w:rFonts w:ascii="仿宋_GB2312" w:hAnsi="仿宋_GB2312" w:cs="仿宋_GB2312" w:eastAsia="仿宋_GB2312"/>
                      <w:sz w:val="24"/>
                      <w:color w:val="000000"/>
                    </w:rPr>
                    <w:t>4.快速凉感，7档风速，四种睡眠模式</w:t>
                  </w:r>
                  <w:r>
                    <w:br/>
                  </w:r>
                  <w:r>
                    <w:rPr>
                      <w:rFonts w:ascii="仿宋_GB2312" w:hAnsi="仿宋_GB2312" w:cs="仿宋_GB2312" w:eastAsia="仿宋_GB2312"/>
                      <w:sz w:val="24"/>
                      <w:color w:val="000000"/>
                    </w:rPr>
                    <w:t>5.过滤网集成易拆洗</w:t>
                  </w:r>
                  <w:r>
                    <w:br/>
                  </w:r>
                  <w:r>
                    <w:rPr>
                      <w:rFonts w:ascii="仿宋_GB2312" w:hAnsi="仿宋_GB2312" w:cs="仿宋_GB2312" w:eastAsia="仿宋_GB2312"/>
                      <w:sz w:val="24"/>
                      <w:color w:val="000000"/>
                    </w:rPr>
                    <w:t>6.具有断电记忆功能</w:t>
                  </w:r>
                  <w:r>
                    <w:br/>
                  </w:r>
                  <w:r>
                    <w:rPr>
                      <w:rFonts w:ascii="仿宋_GB2312" w:hAnsi="仿宋_GB2312" w:cs="仿宋_GB2312" w:eastAsia="仿宋_GB2312"/>
                      <w:sz w:val="24"/>
                      <w:color w:val="000000"/>
                    </w:rPr>
                    <w:t>7.56度净菌自清洁，外机自洁除尘</w:t>
                  </w:r>
                  <w:r>
                    <w:br/>
                  </w:r>
                  <w:r>
                    <w:rPr>
                      <w:rFonts w:ascii="仿宋_GB2312" w:hAnsi="仿宋_GB2312" w:cs="仿宋_GB2312" w:eastAsia="仿宋_GB2312"/>
                      <w:sz w:val="24"/>
                      <w:color w:val="000000"/>
                    </w:rPr>
                    <w:t>8.24小时定时</w:t>
                  </w:r>
                  <w:r>
                    <w:br/>
                  </w:r>
                  <w:r>
                    <w:rPr>
                      <w:rFonts w:ascii="仿宋_GB2312" w:hAnsi="仿宋_GB2312" w:cs="仿宋_GB2312" w:eastAsia="仿宋_GB2312"/>
                      <w:sz w:val="24"/>
                      <w:color w:val="000000"/>
                    </w:rPr>
                    <w:t>9.制热防冷风</w:t>
                  </w:r>
                  <w:r>
                    <w:br/>
                  </w:r>
                  <w:r>
                    <w:rPr>
                      <w:rFonts w:ascii="仿宋_GB2312" w:hAnsi="仿宋_GB2312" w:cs="仿宋_GB2312" w:eastAsia="仿宋_GB2312"/>
                      <w:sz w:val="24"/>
                      <w:color w:val="000000"/>
                    </w:rPr>
                    <w:t>10.童锁功能</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拆</w:t>
                  </w:r>
                  <w:r>
                    <w:rPr>
                      <w:rFonts w:ascii="仿宋_GB2312" w:hAnsi="仿宋_GB2312" w:cs="仿宋_GB2312" w:eastAsia="仿宋_GB2312"/>
                      <w:sz w:val="24"/>
                      <w:color w:val="000000"/>
                    </w:rPr>
                    <w:t>3P旧柜机</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拆除教室的旧柜机</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加长铜管</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Ø6   Ø12：铜管壁厚：0.8㎜</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导热性快，延展性强，耐腐性久，环保</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288</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改电源线</w:t>
                  </w:r>
                  <w:r>
                    <w:br/>
                  </w:r>
                  <w:r>
                    <w:rPr>
                      <w:rFonts w:ascii="仿宋_GB2312" w:hAnsi="仿宋_GB2312" w:cs="仿宋_GB2312" w:eastAsia="仿宋_GB2312"/>
                      <w:sz w:val="24"/>
                      <w:color w:val="000000"/>
                    </w:rPr>
                    <w:t>（含线槽）</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国标铜芯：</w:t>
                  </w:r>
                  <w:r>
                    <w:rPr>
                      <w:rFonts w:ascii="仿宋_GB2312" w:hAnsi="仿宋_GB2312" w:cs="仿宋_GB2312" w:eastAsia="仿宋_GB2312"/>
                      <w:sz w:val="24"/>
                      <w:color w:val="000000"/>
                    </w:rPr>
                    <w:t>3*4㎡</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安全稳定性好</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米</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336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空开</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16A：额定电压：230VAC，额定剩余电流：30mA，额定动作时间:&lt;0.1s</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漏电自动保护</w:t>
                  </w:r>
                  <w:r>
                    <w:rPr>
                      <w:rFonts w:ascii="仿宋_GB2312" w:hAnsi="仿宋_GB2312" w:cs="仿宋_GB2312" w:eastAsia="仿宋_GB2312"/>
                      <w:sz w:val="24"/>
                      <w:color w:val="000000"/>
                    </w:rPr>
                    <w:t>,防火，防烧，防触电</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支架（含加长膨胀螺丝）</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3P：镀锌   厚度：2mm，承重：≥240kg</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结实，防腐，防锈</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付</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打孔</w:t>
                  </w:r>
                  <w:r>
                    <w:br/>
                  </w:r>
                  <w:r>
                    <w:rPr>
                      <w:rFonts w:ascii="仿宋_GB2312" w:hAnsi="仿宋_GB2312" w:cs="仿宋_GB2312" w:eastAsia="仿宋_GB2312"/>
                      <w:sz w:val="24"/>
                      <w:color w:val="000000"/>
                    </w:rPr>
                    <w:t>（保护墙面）</w:t>
                  </w:r>
                </w:p>
              </w:tc>
              <w:tc>
                <w:tcPr>
                  <w:tcW w:type="dxa" w:w="46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63㎜：水钻</w:t>
                  </w:r>
                </w:p>
              </w:tc>
              <w:tc>
                <w:tcPr>
                  <w:tcW w:type="dxa" w:w="4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保护墙面干净，不破坏墙皮，美观</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96</w:t>
                  </w:r>
                </w:p>
              </w:tc>
            </w:tr>
            <w:tr>
              <w:tc>
                <w:tcPr>
                  <w:tcW w:type="dxa" w:w="12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改室外落水管</w:t>
                  </w:r>
                </w:p>
              </w:tc>
              <w:tc>
                <w:tcPr>
                  <w:tcW w:type="dxa" w:w="87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color w:val="000000"/>
                    </w:rPr>
                    <w:t>重新安装外墙落水管，使得空调冷凝水管接入落水管</w:t>
                  </w:r>
                </w:p>
              </w:tc>
              <w:tc>
                <w:tcPr>
                  <w:tcW w:type="dxa" w:w="1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1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r>
          </w:tbl>
          <w:p>
            <w:pPr>
              <w:pStyle w:val="null3"/>
              <w:jc w:val="both"/>
            </w:pPr>
            <w:r>
              <w:rPr>
                <w:rFonts w:ascii="仿宋_GB2312" w:hAnsi="仿宋_GB2312" w:cs="仿宋_GB2312" w:eastAsia="仿宋_GB2312"/>
              </w:rPr>
              <w:t>本项目核心产品为：3P挂机</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自合同签订生效之日起15日历日。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到货、安装完成，验收合格后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硬件设备到达甲方指定地点后，组织现场开箱请点验货。所到设备的型号和数量必须与合同一致，甲方和乙方共同签署到货验收单。未签收到货验收单的货物不得擅自开箱安装。2、乙方保证合同所有设备是全新的(包括零部件)，其规格参数及配件不低于(符合)本项目招投标文件的要求。 3、安装完成，乙方进行自测并形成自测报告(软硬件)，出现的问题限期整改。自检最终通过后，乙方提出验收申请，甲方组织相关人员进行最终验收。 4、设备采购从通过最终验收之日起进入保修期，提供原厂保修升级。</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6年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1、各供应商应根据“陕西省财政厅 陕财办采函[2023]14号文”《陕西省财政厅关于省级预算单位全面推行政府采购项目电子化交易的通知》、“陕西省财政厅 陕财办采[2022]9号文”《政府采购项目电子化交易规则》等文件的要求，做好人员配备、设施设备、系统操作的相应准备，熟悉并正确实施相关操作流程，承担由于操作或其他因素造成的不利后果。 2、空调设备到达甲方指定地点后，组织现场开箱请点验货。所到设备的型号和数量必须与合同一致，甲方和乙方共同签署到货验收单。未签收到货验收单的货物不得擅自开箱安装。 3、乙方保证合同所有设备是全新的（包括零部件），其规格参数及配件不低于（符合）本项目招投标文件的要求。 4、安装完成，乙方进行设备自检调试并形成调试报告，出现的问题限期整改。自检调试最终通过后，乙方提出验收申请，甲方组织相关人员进行最终验收。 5、设备采购从通过最终验收之日起进入保修期，提供原厂保修升级。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（1）根据投标供应商类别进行提供： ①如供应商是企业（包括合伙企业），应提供在工商部门注册的有效“企业法人营业执照”或“营业执照”； ②如供应商是事业单位，应提供有效的“事业单位法人证书”； ③如供应商是为企业专业服务机构的，应提供执业许可证等证明文件； ④如供应商是个体工商户，应提供有效的“个体工商户营业执照”； ⑤如供应商为自然人，应提供有效的自然人身份证明。 （2）供应商需在项目电子化交易系统中按要求填写《响应函》及《基本资格条件承诺函》完成承诺并进行电子签章。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供应商需在项目电子化交易系统中按要求填写《基本资格条件承诺函》完成承诺并进行电子签章。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身份证明</w:t>
            </w:r>
          </w:p>
        </w:tc>
        <w:tc>
          <w:tcPr>
            <w:tcW w:type="dxa" w:w="3322"/>
          </w:tcPr>
          <w:p>
            <w:pPr>
              <w:pStyle w:val="null3"/>
            </w:pPr>
            <w:r>
              <w:rPr>
                <w:rFonts w:ascii="仿宋_GB2312" w:hAnsi="仿宋_GB2312" w:cs="仿宋_GB2312" w:eastAsia="仿宋_GB2312"/>
              </w:rPr>
              <w:t>身份证明：法定代表人授权书（法定代表人直接参加磋商，须提供法定代表人身份证明）注：被授权人参与磋商时，须提供被授权人近六个月内任意一个月在本单位缴纳的社保证明；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磋商响应文件内容齐全、无遗漏</w:t>
            </w:r>
          </w:p>
        </w:tc>
        <w:tc>
          <w:tcPr>
            <w:tcW w:type="dxa" w:w="1661"/>
          </w:tcPr>
          <w:p>
            <w:pPr>
              <w:pStyle w:val="null3"/>
            </w:pPr>
            <w:r>
              <w:rPr>
                <w:rFonts w:ascii="仿宋_GB2312" w:hAnsi="仿宋_GB2312" w:cs="仿宋_GB2312" w:eastAsia="仿宋_GB2312"/>
              </w:rPr>
              <w:t>业绩一览表.docx 合同格式.docx 中小企业声明函 报价表 资格证明文件.docx 响应文件封面 规格、技术参数偏离表.docx 分项报价表.docx 残疾人福利性单位声明函 拒绝政府采购领域商业贿赂承诺书.docx 标的清单 拟投入本项目的人员.docx 货物简要说明一览表.docx 响应函 服务方案.docx 商务条款偏离表.docx 监狱企业的证明文件 节能、环境标志产品明细表.docx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要求全面响应，不能有任何采购人不能接受的附加条件</w:t>
            </w:r>
          </w:p>
        </w:tc>
        <w:tc>
          <w:tcPr>
            <w:tcW w:type="dxa" w:w="1661"/>
          </w:tcPr>
          <w:p>
            <w:pPr>
              <w:pStyle w:val="null3"/>
            </w:pPr>
            <w:r>
              <w:rPr>
                <w:rFonts w:ascii="仿宋_GB2312" w:hAnsi="仿宋_GB2312" w:cs="仿宋_GB2312" w:eastAsia="仿宋_GB2312"/>
              </w:rPr>
              <w:t>业绩一览表.docx 合同格式.docx 中小企业声明函 报价表 资格证明文件.docx 规格、技术参数偏离表.docx 响应文件封面 分项报价表.docx 残疾人福利性单位声明函 拒绝政府采购领域商业贿赂承诺书.docx 标的清单 拟投入本项目的人员.docx 货物简要说明一览表.docx 响应函 服务方案.docx 商务条款偏离表.docx 监狱企业的证明文件 节能、环境标志产品明细表.docx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分项报价表.docx 标的清单 报价表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 商务条款偏离表.docx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 商务条款偏离表.docx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应符合磋商文件的要求</w:t>
            </w:r>
          </w:p>
        </w:tc>
        <w:tc>
          <w:tcPr>
            <w:tcW w:type="dxa" w:w="1661"/>
          </w:tcPr>
          <w:p>
            <w:pPr>
              <w:pStyle w:val="null3"/>
            </w:pPr>
            <w:r>
              <w:rPr>
                <w:rFonts w:ascii="仿宋_GB2312" w:hAnsi="仿宋_GB2312" w:cs="仿宋_GB2312" w:eastAsia="仿宋_GB2312"/>
              </w:rPr>
              <w:t>响应函 商务条款偏离表.docx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产品参数</w:t>
            </w:r>
          </w:p>
        </w:tc>
        <w:tc>
          <w:tcPr>
            <w:tcW w:type="dxa" w:w="2492"/>
          </w:tcPr>
          <w:p>
            <w:pPr>
              <w:pStyle w:val="null3"/>
            </w:pPr>
            <w:r>
              <w:rPr>
                <w:rFonts w:ascii="仿宋_GB2312" w:hAnsi="仿宋_GB2312" w:cs="仿宋_GB2312" w:eastAsia="仿宋_GB2312"/>
              </w:rPr>
              <w:t>评审内容：供应商提供所投产品技术指标，参数，性能符合甲方需求。 二、评审标准及赋分标准：所供产品技术指标明确，完全满足要求得12分，▲参数每负偏离一种扣1.5分，其他参数每负偏离一种扣1分，扣完为止。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节能、环境标志产品明细表.docx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规格、技术参数偏离表.docx</w:t>
            </w:r>
          </w:p>
          <w:p>
            <w:pPr>
              <w:pStyle w:val="null3"/>
            </w:pPr>
            <w:r>
              <w:rPr>
                <w:rFonts w:ascii="仿宋_GB2312" w:hAnsi="仿宋_GB2312" w:cs="仿宋_GB2312" w:eastAsia="仿宋_GB2312"/>
              </w:rPr>
              <w:t>货物简要说明一览表.docx</w:t>
            </w:r>
          </w:p>
        </w:tc>
      </w:tr>
      <w:tr>
        <w:tc>
          <w:tcPr>
            <w:tcW w:type="dxa" w:w="831"/>
            <w:vMerge/>
          </w:tcPr>
          <w:p/>
        </w:tc>
        <w:tc>
          <w:tcPr>
            <w:tcW w:type="dxa" w:w="1661"/>
          </w:tcPr>
          <w:p>
            <w:pPr>
              <w:pStyle w:val="null3"/>
            </w:pPr>
            <w:r>
              <w:rPr>
                <w:rFonts w:ascii="仿宋_GB2312" w:hAnsi="仿宋_GB2312" w:cs="仿宋_GB2312" w:eastAsia="仿宋_GB2312"/>
              </w:rPr>
              <w:t>产品来源渠道及证明材料完整性</w:t>
            </w:r>
          </w:p>
        </w:tc>
        <w:tc>
          <w:tcPr>
            <w:tcW w:type="dxa" w:w="2492"/>
          </w:tcPr>
          <w:p>
            <w:pPr>
              <w:pStyle w:val="null3"/>
            </w:pPr>
            <w:r>
              <w:rPr>
                <w:rFonts w:ascii="仿宋_GB2312" w:hAnsi="仿宋_GB2312" w:cs="仿宋_GB2312" w:eastAsia="仿宋_GB2312"/>
              </w:rPr>
              <w:t>一、评审内容：1.供应商需提供所投产品合法正规来源渠道证明文件：包括但不限于厂家授权、销售协议、代理协议等；2.供应商所投产品技术参数证明（提供证明材料包括但不限于产品检测报告、彩页、官网截图、认证证书等相关资料）证明材料齐全； 二、评审标准及赋分标准： （1）来源渠道及技术证明材料完整，得7分；（2）来源渠道及技术证明材料较完整，得4分；（3）来源渠道及技术证明材料不全缺项大，得2分；（4）不提供得 0 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一、评审内容：根据供应商针对本项目提供： ①质量保证措施 ②管理制度和协调方案 ③项目验收方案 二、评审标准： 1、完整性：方案必须全面，对评审内容中的各项要求有详 细描述； 2、可实施性：切合本项目实际情况，提出步骤清晰、合理 的方案。 三、赋分标准（满分15分）； ①-③项评审内容：每项评审内容每完全满足一个评审标准得2.5分，方案每有一处缺陷扣0.5分；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运输供货方案</w:t>
            </w:r>
          </w:p>
        </w:tc>
        <w:tc>
          <w:tcPr>
            <w:tcW w:type="dxa" w:w="2492"/>
          </w:tcPr>
          <w:p>
            <w:pPr>
              <w:pStyle w:val="null3"/>
            </w:pPr>
            <w:r>
              <w:rPr>
                <w:rFonts w:ascii="仿宋_GB2312" w:hAnsi="仿宋_GB2312" w:cs="仿宋_GB2312" w:eastAsia="仿宋_GB2312"/>
              </w:rPr>
              <w:t>一、评审内容：针对本项目提出具体的运输供货方案，方案内容包含： ①运输成品保护方案 ②运输中遇到的紧急情况等处理方案 ③包安装 二、评审标准：1、完整性：方案必须全面，对评审内容中的各项要求有详细描述；2、可实施性：切合本项目实际情况，提出步骤清晰、合理的方案。 三、赋分标准（满分12分） ①-③项评审内容：每项评审内容每完全满足一个评审标准得2分，方案每有一处缺陷扣0.5分；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一、评审内容：投标人针对本项目提出具体的售后服务方案，方案内容包含： ①售后服务方案 ②售后服务人员组织 ③售后服务保障措施 ④产品交付采购方后出现质量问题的响应时间及解决方案 二、评审标准： 1、完整性：方案必须全面，对评审内容中的各项要求有详 细描述； 2、可实施性：切合本项目实际情况，提出步骤清晰、合理的方案。 三、赋分标准（满分16分）； ①-④项评审内容：每项评审内容每完全满足一个评审标准得2分，方案每有一处缺陷扣0.5分； （缺陷是指：内容粗略、逻辑混乱、描述过于简单、与项目特点不匹配、凭空编造、逻辑漏洞、出现常识性错误、存在不适用项目实际情况的情形或只有标题没有实质性内容等）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商务条款偏离表.docx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投标供应商提供2022年07月01日（以合同签订时间为准）至今类似项目业绩，每提供一个业绩证明得2分，满分8分（合同复印件加盖投标供应商公章）。</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磋商响应文件，其最后磋商报价为有效磋商报价，满足磋商文件要求且磋商价格最低的最后磋商报价为评标基准价,其价格分为满分。价格分按照下列公式计算。磋商报价得分=（评标基准价/最后磋商报价）×价格分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中小企业声明函 残疾人福利性单位声明函 标的清单 报价表 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详见附件：规格、技术参数偏离表.docx</w:t>
      </w:r>
    </w:p>
    <w:p>
      <w:pPr>
        <w:pStyle w:val="null3"/>
        <w:ind w:firstLine="960"/>
      </w:pPr>
      <w:r>
        <w:rPr>
          <w:rFonts w:ascii="仿宋_GB2312" w:hAnsi="仿宋_GB2312" w:cs="仿宋_GB2312" w:eastAsia="仿宋_GB2312"/>
        </w:rPr>
        <w:t>详见附件：货物简要说明一览表.docx</w:t>
      </w:r>
    </w:p>
    <w:p>
      <w:pPr>
        <w:pStyle w:val="null3"/>
        <w:ind w:firstLine="960"/>
      </w:pPr>
      <w:r>
        <w:rPr>
          <w:rFonts w:ascii="仿宋_GB2312" w:hAnsi="仿宋_GB2312" w:cs="仿宋_GB2312" w:eastAsia="仿宋_GB2312"/>
        </w:rPr>
        <w:t>详见附件：节能、环境标志产品明细表.docx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详见附件：商务条款偏离表.docx</w:t>
      </w:r>
    </w:p>
    <w:p>
      <w:pPr>
        <w:pStyle w:val="null3"/>
        <w:ind w:firstLine="960"/>
      </w:pPr>
      <w:r>
        <w:rPr>
          <w:rFonts w:ascii="仿宋_GB2312" w:hAnsi="仿宋_GB2312" w:cs="仿宋_GB2312" w:eastAsia="仿宋_GB2312"/>
        </w:rPr>
        <w:t>详见附件：拟投入本项目的人员.docx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详见附件：合同格式.docx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