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版本号：DZDL-2025-035Z20250717001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教学楼综合楼操场地库维修及科学教室地板更换制作柜子项目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DZDL-2025-035Z</w:t>
      </w:r>
      <w:r>
        <w:br/>
      </w:r>
      <w:r>
        <w:br/>
      </w:r>
      <w:r>
        <w:br/>
      </w:r>
    </w:p>
    <w:p>
      <w:pPr>
        <w:pStyle w:val="null3"/>
        <w:jc w:val="center"/>
        <w:outlineLvl w:val="2"/>
      </w:pPr>
      <w:r>
        <w:rPr>
          <w:rFonts w:ascii="仿宋_GB2312" w:hAnsi="仿宋_GB2312" w:cs="仿宋_GB2312" w:eastAsia="仿宋_GB2312"/>
          <w:sz w:val="28"/>
          <w:b/>
        </w:rPr>
        <w:t>西安高新第十一小学</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西安高新第十一小学</w:t>
      </w:r>
      <w:r>
        <w:rPr>
          <w:rFonts w:ascii="仿宋_GB2312" w:hAnsi="仿宋_GB2312" w:cs="仿宋_GB2312" w:eastAsia="仿宋_GB2312"/>
        </w:rPr>
        <w:t>委托，拟对</w:t>
      </w:r>
      <w:r>
        <w:rPr>
          <w:rFonts w:ascii="仿宋_GB2312" w:hAnsi="仿宋_GB2312" w:cs="仿宋_GB2312" w:eastAsia="仿宋_GB2312"/>
        </w:rPr>
        <w:t>教学楼综合楼操场地库维修及科学教室地板更换制作柜子项目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DZDL-2025-035Z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教学楼综合楼操场地库维修及科学教室地板更换制作柜子项目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本教学楼综合楼操场地库维修及科学教室地板更换制作柜子项目,具体详见工程量清单。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采购包1（教学楼综合楼操场地库维修及科学教室地板更换制作柜子项目）：属于专门面向中小企业采购。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1、企业资质要求：具备建设行政主管部门颁发的建筑工程施工总承包三级及以上资质或建筑装修装饰工程专业承包二级及以上资质，且具备有效的安全生产许可证。</w:t>
      </w:r>
    </w:p>
    <w:p>
      <w:pPr>
        <w:pStyle w:val="null3"/>
      </w:pPr>
      <w:r>
        <w:rPr>
          <w:rFonts w:ascii="仿宋_GB2312" w:hAnsi="仿宋_GB2312" w:cs="仿宋_GB2312" w:eastAsia="仿宋_GB2312"/>
        </w:rPr>
        <w:t>2、拟派项目负责人要求：具有建筑工程专业二级及以上注册建造师证书和有效的安全生产考核证书（B证） ，在本单位注册且无在建工程（提供无在建工程承诺书）。</w:t>
      </w:r>
    </w:p>
    <w:p>
      <w:pPr>
        <w:pStyle w:val="null3"/>
      </w:pPr>
      <w:r>
        <w:rPr>
          <w:rFonts w:ascii="仿宋_GB2312" w:hAnsi="仿宋_GB2312" w:cs="仿宋_GB2312" w:eastAsia="仿宋_GB2312"/>
        </w:rPr>
        <w:t>3、法定代表人授权委托书（或法定代表人证明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4、信用查询：供应商未被列入“信用中国”网站记录的“失信被执行人”和“重大税收违法失信主体”名单；不处 于“中国政府采购网”记录的“政府采购严重违法失信行为记录名单”中的禁止参加政府采购活动 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西安高新第十一小学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长安区细柳街道西新社区定昆池三路3号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陕西省西安市雁塔区科技路48号创业广场B座1506室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029-88861150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采购包1：1,081,759.51元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代理服务费金额：参照国家发展计划委员会计价格【2002】1980号文件及国家发展和改革委员会办公厅颁发的《关于招标代理服务收费有关问题的通知》（发改价格【2011】534号）的规定标准。2、代理服务费缴纳账户信息： 银行户名：鼎正众创建设集团有限公司 开户银行：中国建设银行股份有限公司西安高新科技支行 账 号：61001925700052502502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西安高新第十一小学</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西安高新第十一小学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西安高新第十一小学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联系电话：029-88861150</w:t>
      </w:r>
    </w:p>
    <w:p>
      <w:pPr>
        <w:pStyle w:val="null3"/>
      </w:pPr>
      <w:r>
        <w:rPr>
          <w:rFonts w:ascii="仿宋_GB2312" w:hAnsi="仿宋_GB2312" w:cs="仿宋_GB2312" w:eastAsia="仿宋_GB2312"/>
        </w:rPr>
        <w:t>地址：陕西省西安市雁塔区科技路48号创业广场B座1506室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1,081,759.51</w:t>
      </w:r>
    </w:p>
    <w:p>
      <w:pPr>
        <w:pStyle w:val="null3"/>
      </w:pPr>
      <w:r>
        <w:rPr>
          <w:rFonts w:ascii="仿宋_GB2312" w:hAnsi="仿宋_GB2312" w:cs="仿宋_GB2312" w:eastAsia="仿宋_GB2312"/>
        </w:rPr>
        <w:t>采购包最高限价（元）: 1,081,759.51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教学楼综合楼操场地库维修及科学教室地板更换制作柜子项目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1,081,759.51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标的名称：教学楼综合楼操场地库维修及科学教室地板更换制作柜子项目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一、工程内容：本教学楼综合楼操场地库维修及科学教室地板更换制作柜子项目,具体详见工程量清单。 二、编制依据：1、2009年《陕西省建设工程工程量清单计价规则》、2004《陕西省建筑、装饰、安装、市政消耗量定额》及勘误表（2009）、《陕西省建设工程消耗量定额（2004）补充定额》、2009《陕西省建筑、装饰、安装、市政工程价目表》、《全统修缮定额土建、安装工程陕西省价目表》（2001）、《陕西省建设工程量清单计价费率》；2、《西安市第十二中学校园硬化、绿化及室外管网工程》施工图纸；3、陕建发【2019】45号文件关于调整我省建设工程计价依据的通知；4、陕建发【2019】1246号文件关于陕西省住房和城乡建设厅关于发布我省落实建筑工人实名制管理计价依据的通知；5、陕建发【2020】1097号文关于建筑施工安全生产责任保险费用计价的通知；6、陕建发【2021】1021号建筑业劳保费用执行陕西省住房和城乡建设厅《关于全省统一停止收缴建筑业劳保费用的通知》；7、人工费调整执行关于调整房屋建筑和市政基础设施工程工程量清单计价综合人工单价的通知陕建发【2021】1097号文；8.编制软件采用广联达云计价平台GCCP6.0,版本:6.4100.23.122。 三、工期要求：25日历天 四、工程质量要求：按国家有关验收规范标准，工程质量达到合格标准。 五、付款方式：1、 付款条件说明： 竣工验收合格后 ，达到付款条件起 30 日内，支付合同总金额的 97.00%。2、 付款条件说明： 缺陷责任期满后 ，达到付款条件起 30 日内，支付合同总金额的 3.00%。 六、其他说明事宜：1、本项目采购标的所属行业为：建筑业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七、工程量清单：另附电子版。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供应商需在项目电子化交易系统中按要求填写《响应函》及《承诺函》并进行电子签章。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具备建设行政主管部门颁发的建筑工程施工总承包三级及以上资质或建筑装修装饰工程专业承包二级及以上资质，且具备有效的安全生产许可证。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具有建筑工程专业二级及以上注册建造师证书和有效的安全生产考核证书（B证） ，在本单位注册且无在建工程（提供无在建工程承诺书）。</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 于“中国政府采购网”记录的“政府采购严重违法失信行为记录名单”中的禁止参加政府采购活动 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磋商响应文件中项目名称、项目编号与本项目一致，无遗漏</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供应商承诺书.docx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响应文件封面 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磋商报价未超出采购最高限价</w:t>
            </w:r>
          </w:p>
        </w:tc>
        <w:tc>
          <w:tcPr>
            <w:tcW w:type="dxa" w:w="3322"/>
          </w:tcPr>
          <w:p>
            <w:pPr>
              <w:pStyle w:val="null3"/>
            </w:pPr>
            <w:r>
              <w:rPr>
                <w:rFonts w:ascii="仿宋_GB2312" w:hAnsi="仿宋_GB2312" w:cs="仿宋_GB2312" w:eastAsia="仿宋_GB2312"/>
              </w:rPr>
              <w:t>磋商报价未超出采购最高限价</w:t>
            </w:r>
          </w:p>
        </w:tc>
        <w:tc>
          <w:tcPr>
            <w:tcW w:type="dxa" w:w="1661"/>
          </w:tcPr>
          <w:p>
            <w:pPr>
              <w:pStyle w:val="null3"/>
            </w:pPr>
            <w:r>
              <w:rPr>
                <w:rFonts w:ascii="仿宋_GB2312" w:hAnsi="仿宋_GB2312" w:cs="仿宋_GB2312" w:eastAsia="仿宋_GB2312"/>
              </w:rPr>
              <w:t>响应文件封面 已标价工程量清单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总体施工组织布置及规划科学、合理、可行，根据响应情况7-10分； 总体施工组织布置及规划较科学、较合理、较可行，根据响应情况得 4-7分； 总体施工组织布置及规划不科学、不合理、可行性差，未能完全满足工作要求,根据响应情况得0-4分。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安全、文明施工措施及环境保护措施</w:t>
            </w:r>
          </w:p>
        </w:tc>
        <w:tc>
          <w:tcPr>
            <w:tcW w:type="dxa" w:w="2492"/>
          </w:tcPr>
          <w:p>
            <w:pPr>
              <w:pStyle w:val="null3"/>
            </w:pPr>
            <w:r>
              <w:rPr>
                <w:rFonts w:ascii="仿宋_GB2312" w:hAnsi="仿宋_GB2312" w:cs="仿宋_GB2312" w:eastAsia="仿宋_GB2312"/>
              </w:rPr>
              <w:t>供应商有完善的安全、文明施工措施及环境保护措施，措施编制完整合理、可操作性强，根据响应情况得7-10分； 供应商的安全、文明施工措施及环境保护措 施基本合理、操作性一般，根据响应情况得4-7分； 供应商提供的安全、文明施工措施及环境保 护措施不尽完善、操作性不强、不能完全满足工作要求，根据响应情况得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供应商有完善的施工质量及施工进度保证措施、明确的项目职责与分工，能有效地保证服务质量，确保按时按量完成服务工作，根据响应情况得 7-10分； 供应商的施工质量及施工进度保证措施完善、程序措施较为规范合理，根据响应情况得4-7分； 供应商的施工质量及施工进度保证措施不尽完善、不能完全满足工作要求，根据响应情况得0-4分。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项目部人员配备情况； 人员配备合理、工种和证件齐备、岗位分工明确得7-10分； 人员配备较为合理得得4-7分； 人员配备一般得0-4分。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提供的项目施工方案详细、合理、全面，根据响应情况得 7-10分； 提供的项目施工方案较详细、基本合理，根据响应情况得 4-7分； 提供的项目施工方案有缺陷或不尽合理，前后矛盾，根据响应情况得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劳动力安排及施工机械配备投入计划</w:t>
            </w:r>
          </w:p>
        </w:tc>
        <w:tc>
          <w:tcPr>
            <w:tcW w:type="dxa" w:w="2492"/>
          </w:tcPr>
          <w:p>
            <w:pPr>
              <w:pStyle w:val="null3"/>
            </w:pPr>
            <w:r>
              <w:rPr>
                <w:rFonts w:ascii="仿宋_GB2312" w:hAnsi="仿宋_GB2312" w:cs="仿宋_GB2312" w:eastAsia="仿宋_GB2312"/>
              </w:rPr>
              <w:t>供应商所制定的劳动力安排及施工机械配备投入计划可操作性强，机械工具配置齐全、情况良好。根据响应情况得7-9分； 供应商所制定的劳动力安排及施工机械配备 投入计划可操作性一般，基本满足工作要求，根据响应情况得4-7分； 供应商所制定的劳动力安排及施工机械配备投入计划方案较差、不合理、有缺漏，根据响应情况得0-4分。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根据供应商提供的服务承诺（包括但不限于工期、工程质量、安全方面）的情况自主赋分。 描述详尽、具体、可行性强得3-5分； 描述较详尽、较具体、可行性一般得0-3分。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 类似项目业绩，每提供一个计2分，满分6分（以施工合同为准，时间以合同签订时间为准 ，提供复印件加盖供应商公章） 。</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详见附件：7.17合同条款及格式.docx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