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925EB">
      <w:pPr>
        <w:pStyle w:val="4"/>
        <w:spacing w:before="0" w:beforeAutospacing="0" w:after="0" w:afterAutospacing="0"/>
        <w:jc w:val="center"/>
        <w:outlineLvl w:val="2"/>
        <w:rPr>
          <w:rFonts w:eastAsia="宋体"/>
          <w:b/>
          <w:bCs/>
          <w:sz w:val="48"/>
          <w:szCs w:val="48"/>
          <w:lang w:eastAsia="zh-CN"/>
        </w:rPr>
      </w:pPr>
      <w:bookmarkStart w:id="1" w:name="_GoBack"/>
      <w:bookmarkStart w:id="0" w:name="_Toc14356"/>
      <w:r>
        <w:rPr>
          <w:rFonts w:hint="eastAsia" w:eastAsia="宋体"/>
          <w:b/>
          <w:bCs/>
          <w:sz w:val="40"/>
          <w:szCs w:val="40"/>
          <w:lang w:val="zh-CN" w:eastAsia="zh-CN"/>
        </w:rPr>
        <w:t>开标一览表（唱标报告）</w:t>
      </w:r>
      <w:bookmarkEnd w:id="1"/>
      <w:bookmarkEnd w:id="0"/>
    </w:p>
    <w:tbl>
      <w:tblPr>
        <w:tblStyle w:val="5"/>
        <w:tblW w:w="89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9"/>
        <w:gridCol w:w="6814"/>
      </w:tblGrid>
      <w:tr w14:paraId="3E05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2159" w:type="dxa"/>
            <w:vAlign w:val="center"/>
          </w:tcPr>
          <w:p w14:paraId="644EDDE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项目名称</w:t>
            </w:r>
          </w:p>
        </w:tc>
        <w:tc>
          <w:tcPr>
            <w:tcW w:w="6814" w:type="dxa"/>
            <w:vAlign w:val="center"/>
          </w:tcPr>
          <w:p w14:paraId="5396E4C8">
            <w:pPr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西安高新区GX3-29-2号宗地土地整理项目 </w:t>
            </w:r>
          </w:p>
        </w:tc>
      </w:tr>
      <w:tr w14:paraId="25A48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2159" w:type="dxa"/>
            <w:vAlign w:val="center"/>
          </w:tcPr>
          <w:p w14:paraId="4D8BE0F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项目编号</w:t>
            </w:r>
          </w:p>
        </w:tc>
        <w:tc>
          <w:tcPr>
            <w:tcW w:w="6814" w:type="dxa"/>
            <w:vAlign w:val="center"/>
          </w:tcPr>
          <w:p w14:paraId="1D96539F">
            <w:pPr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SXHC2025-190</w:t>
            </w:r>
          </w:p>
        </w:tc>
      </w:tr>
      <w:tr w14:paraId="2CAB0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2159" w:type="dxa"/>
            <w:vAlign w:val="center"/>
          </w:tcPr>
          <w:p w14:paraId="4AF96F7D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投标报价（元）</w:t>
            </w:r>
          </w:p>
        </w:tc>
        <w:tc>
          <w:tcPr>
            <w:tcW w:w="6814" w:type="dxa"/>
            <w:vAlign w:val="center"/>
          </w:tcPr>
          <w:p w14:paraId="2D77F335"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br w:type="textWrapping"/>
            </w:r>
          </w:p>
          <w:p w14:paraId="013A9605">
            <w:pPr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小写：</w:t>
            </w:r>
          </w:p>
        </w:tc>
      </w:tr>
      <w:tr w14:paraId="50EDE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2159" w:type="dxa"/>
            <w:vAlign w:val="center"/>
          </w:tcPr>
          <w:p w14:paraId="1C15E23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工期</w:t>
            </w:r>
          </w:p>
        </w:tc>
        <w:tc>
          <w:tcPr>
            <w:tcW w:w="6814" w:type="dxa"/>
            <w:vAlign w:val="center"/>
          </w:tcPr>
          <w:p w14:paraId="220644FB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DF84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2159" w:type="dxa"/>
            <w:vAlign w:val="center"/>
          </w:tcPr>
          <w:p w14:paraId="6158E987">
            <w:pPr>
              <w:jc w:val="center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质量</w:t>
            </w:r>
          </w:p>
        </w:tc>
        <w:tc>
          <w:tcPr>
            <w:tcW w:w="6814" w:type="dxa"/>
            <w:vAlign w:val="center"/>
          </w:tcPr>
          <w:p w14:paraId="3634832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3E5A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8973" w:type="dxa"/>
            <w:gridSpan w:val="2"/>
            <w:vAlign w:val="center"/>
          </w:tcPr>
          <w:p w14:paraId="1D2E036A"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说明：</w:t>
            </w:r>
          </w:p>
          <w:p w14:paraId="57B03C64">
            <w:pPr>
              <w:ind w:firstLine="560" w:firstLineChars="200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1.除可填报项目外对本开标一览表（唱标报告）的任何修改将被视为非实质性响应投标从而导致该投标被拒绝。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2.投标报价大写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t>小写不一致，以大写为准。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  3.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投标报价=已标价工程量清单中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 w:bidi="ar-SA"/>
              </w:rPr>
              <w:t>合计。</w:t>
            </w:r>
          </w:p>
        </w:tc>
      </w:tr>
    </w:tbl>
    <w:p w14:paraId="6CACC8D9">
      <w:pPr>
        <w:pStyle w:val="3"/>
        <w:rPr>
          <w:rFonts w:ascii="宋体" w:hAnsi="宋体" w:cs="宋体"/>
          <w:sz w:val="28"/>
          <w:szCs w:val="28"/>
          <w:lang w:eastAsia="zh-CN"/>
        </w:rPr>
      </w:pPr>
    </w:p>
    <w:p w14:paraId="7D6F89A2">
      <w:pPr>
        <w:pStyle w:val="3"/>
        <w:rPr>
          <w:rFonts w:ascii="宋体" w:hAnsi="宋体" w:cs="宋体"/>
          <w:sz w:val="28"/>
          <w:szCs w:val="28"/>
          <w:lang w:eastAsia="zh-CN"/>
        </w:rPr>
      </w:pPr>
    </w:p>
    <w:p w14:paraId="47D27A19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3BB987A8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1A3C50F0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24DE58B5"/>
    <w:rsid w:val="5E1A20EF"/>
    <w:rsid w:val="7114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194</Characters>
  <Lines>0</Lines>
  <Paragraphs>0</Paragraphs>
  <TotalTime>0</TotalTime>
  <ScaleCrop>false</ScaleCrop>
  <LinksUpToDate>false</LinksUpToDate>
  <CharactersWithSpaces>306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A1C1BBD3306D477388A87551956E2CDF_13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