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版本号：DCZX2025-ZCCS-FW106220250718001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市场综合监管平台2025年运维项目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DCZX2025-ZCCS-FW1062</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市场综合监管平台2025年运维项目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市场综合监管平台2025年运维项目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市场综合监管平台2025年运维项目，详见采购需求。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采购包1（市场综合监管平台2025年运维项目）：属于专门面向中小企业采购。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响应文件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2、非联合体声明 ：本项目不接受联合体投标；</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成交供应商在领取成交通知书时需向采购代理机构提交加盖公章的介绍信（或授权委托书）及身份证复印件。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市场综合监管平台2025年运维项目，详见采购需求。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监管平台运维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标的名称：监管平台运维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一、食品安全视频Ai事件处置能力</w:t>
            </w:r>
          </w:p>
          <w:p>
            <w:pPr>
              <w:pStyle w:val="null3"/>
              <w:ind w:firstLine="480"/>
              <w:jc w:val="both"/>
            </w:pPr>
            <w:r>
              <w:rPr>
                <w:rFonts w:ascii="仿宋_GB2312" w:hAnsi="仿宋_GB2312" w:cs="仿宋_GB2312" w:eastAsia="仿宋_GB2312"/>
                <w:sz w:val="24"/>
                <w:color w:val="000000"/>
              </w:rPr>
              <w:t>结合“高新区网络外卖食品监管系统”及陕西省电信“天翼云眼”视频平台技术能力；延申融合开发满足高新区部门联合“综合监管”工作和高新区市监网格化工作的Ai事件流转、管理、处置、反馈和统计分析模块；新模块需完美嵌入当前已有业务工作流，不增加各级人员业务工作难度，提升工作效率。</w:t>
            </w:r>
          </w:p>
          <w:p>
            <w:pPr>
              <w:pStyle w:val="null3"/>
              <w:jc w:val="both"/>
            </w:pPr>
            <w:r>
              <w:rPr>
                <w:rFonts w:ascii="仿宋_GB2312" w:hAnsi="仿宋_GB2312" w:cs="仿宋_GB2312" w:eastAsia="仿宋_GB2312"/>
                <w:sz w:val="24"/>
                <w:b/>
                <w:color w:val="000000"/>
              </w:rPr>
              <w:t>二、企业直通车改造及接入i西安</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运用“西安市一体化能力开放系统”能力升级改造或重新开发企业直通车相关涉企业务事项，满足统一身份验证和统一登陆要求，细分业务场景入驻西安市“i西安”应用，统一入口服务于高新区市场主体。改造内容包括检查公示、易查云桥、在线学习及相关衍生模块。</w:t>
            </w:r>
          </w:p>
          <w:p>
            <w:pPr>
              <w:pStyle w:val="null3"/>
              <w:jc w:val="both"/>
            </w:pPr>
            <w:r>
              <w:rPr>
                <w:rFonts w:ascii="仿宋_GB2312" w:hAnsi="仿宋_GB2312" w:cs="仿宋_GB2312" w:eastAsia="仿宋_GB2312"/>
                <w:sz w:val="24"/>
                <w:b/>
                <w:color w:val="000000"/>
              </w:rPr>
              <w:t>三、数据对接与系统融合</w:t>
            </w:r>
          </w:p>
          <w:p>
            <w:pPr>
              <w:pStyle w:val="null3"/>
              <w:ind w:firstLine="480"/>
              <w:jc w:val="both"/>
            </w:pPr>
            <w:r>
              <w:rPr>
                <w:rFonts w:ascii="仿宋_GB2312" w:hAnsi="仿宋_GB2312" w:cs="仿宋_GB2312" w:eastAsia="仿宋_GB2312"/>
                <w:sz w:val="24"/>
                <w:color w:val="000000"/>
              </w:rPr>
              <w:t>1.西安市数据一体化平台的接入和数据共享</w:t>
            </w:r>
          </w:p>
          <w:p>
            <w:pPr>
              <w:pStyle w:val="null3"/>
              <w:ind w:firstLine="480"/>
              <w:jc w:val="both"/>
            </w:pPr>
            <w:r>
              <w:rPr>
                <w:rFonts w:ascii="仿宋_GB2312" w:hAnsi="仿宋_GB2312" w:cs="仿宋_GB2312" w:eastAsia="仿宋_GB2312"/>
                <w:sz w:val="24"/>
                <w:color w:val="000000"/>
              </w:rPr>
              <w:t>根据西安市大数据局要求，逐步迁移调整原“西安市数据共享平台”数据至“西安市数据一体化平台”，重新与各个数据供需部门和平台完成数据共享交换。</w:t>
            </w:r>
          </w:p>
          <w:p>
            <w:pPr>
              <w:pStyle w:val="null3"/>
              <w:ind w:firstLine="480"/>
              <w:jc w:val="both"/>
            </w:pPr>
            <w:r>
              <w:rPr>
                <w:rFonts w:ascii="仿宋_GB2312" w:hAnsi="仿宋_GB2312" w:cs="仿宋_GB2312" w:eastAsia="仿宋_GB2312"/>
                <w:sz w:val="24"/>
                <w:color w:val="000000"/>
              </w:rPr>
              <w:t xml:space="preserve"> 2.智慧市监数据融合</w:t>
            </w:r>
          </w:p>
          <w:p>
            <w:pPr>
              <w:pStyle w:val="null3"/>
              <w:ind w:firstLine="480"/>
              <w:jc w:val="both"/>
            </w:pPr>
            <w:r>
              <w:rPr>
                <w:rFonts w:ascii="仿宋_GB2312" w:hAnsi="仿宋_GB2312" w:cs="仿宋_GB2312" w:eastAsia="仿宋_GB2312"/>
                <w:sz w:val="24"/>
                <w:color w:val="000000"/>
              </w:rPr>
              <w:t>按照西安市市场监督管局智慧市监发展进程完成上下级数据对接和数据交换。</w:t>
            </w:r>
          </w:p>
          <w:p>
            <w:pPr>
              <w:pStyle w:val="null3"/>
              <w:jc w:val="both"/>
            </w:pPr>
            <w:r>
              <w:rPr>
                <w:rFonts w:ascii="仿宋_GB2312" w:hAnsi="仿宋_GB2312" w:cs="仿宋_GB2312" w:eastAsia="仿宋_GB2312"/>
                <w:sz w:val="24"/>
                <w:b/>
                <w:color w:val="000000"/>
              </w:rPr>
              <w:t>四、涉企互联网数据更新服务</w:t>
            </w:r>
          </w:p>
          <w:p>
            <w:pPr>
              <w:pStyle w:val="null3"/>
              <w:ind w:firstLine="480"/>
              <w:jc w:val="both"/>
            </w:pPr>
            <w:r>
              <w:rPr>
                <w:rFonts w:ascii="仿宋_GB2312" w:hAnsi="仿宋_GB2312" w:cs="仿宋_GB2312" w:eastAsia="仿宋_GB2312"/>
                <w:sz w:val="24"/>
                <w:color w:val="000000"/>
              </w:rPr>
              <w:t>1.在库企业大数据的统计分析。对平台企业数据库存储舍弃数据定期统计整理，梳理各类数据的更新频次和最后更新时间，全面了解平台数据情况，并为数据更新做好准备。</w:t>
            </w:r>
          </w:p>
          <w:p>
            <w:pPr>
              <w:pStyle w:val="null3"/>
              <w:ind w:firstLine="480"/>
              <w:jc w:val="both"/>
            </w:pPr>
            <w:r>
              <w:rPr>
                <w:rFonts w:ascii="仿宋_GB2312" w:hAnsi="仿宋_GB2312" w:cs="仿宋_GB2312" w:eastAsia="仿宋_GB2312"/>
                <w:sz w:val="24"/>
                <w:color w:val="000000"/>
              </w:rPr>
              <w:t>2.涉企数据采集和更新服务。更具在库数据的分析结果，涉及内部数据的及时与数据提供方沟通完成数据更新。对需要互联网渠道更新的数据依照数据类型定期多渠道多方向从互联网完成采集，在对数据加工处理后按照数据时间参数更新至平台企业信息数据库。</w:t>
            </w:r>
          </w:p>
          <w:p>
            <w:pPr>
              <w:pStyle w:val="null3"/>
              <w:jc w:val="both"/>
            </w:pPr>
            <w:r>
              <w:rPr>
                <w:rFonts w:ascii="仿宋_GB2312" w:hAnsi="仿宋_GB2312" w:cs="仿宋_GB2312" w:eastAsia="仿宋_GB2312"/>
                <w:sz w:val="24"/>
                <w:b/>
                <w:color w:val="000000"/>
              </w:rPr>
              <w:t>五、平台运维服务</w:t>
            </w:r>
          </w:p>
          <w:p>
            <w:pPr>
              <w:pStyle w:val="null3"/>
              <w:ind w:firstLine="480"/>
              <w:jc w:val="both"/>
            </w:pPr>
            <w:r>
              <w:rPr>
                <w:rFonts w:ascii="仿宋_GB2312" w:hAnsi="仿宋_GB2312" w:cs="仿宋_GB2312" w:eastAsia="仿宋_GB2312"/>
                <w:sz w:val="24"/>
                <w:color w:val="000000"/>
              </w:rPr>
              <w:t>1.综合监管平台日常运维服务。保障系统运行的服务内容，质保期内提供（7*24）上门维护、升级服务，对故障能即时响应，2小时以内到现场，5小时以内提出问题解决方案所采取的措施；在线提供不限数量的售后电话支持或e-mail支持，确保对市场监管平台的技术请求做出快速满意的回复；提供最高版本的技术咨询服务与软件升级支持。</w:t>
            </w:r>
          </w:p>
          <w:p>
            <w:pPr>
              <w:pStyle w:val="null3"/>
              <w:ind w:firstLine="480"/>
              <w:jc w:val="both"/>
            </w:pPr>
            <w:r>
              <w:rPr>
                <w:rFonts w:ascii="仿宋_GB2312" w:hAnsi="仿宋_GB2312" w:cs="仿宋_GB2312" w:eastAsia="仿宋_GB2312"/>
                <w:sz w:val="24"/>
                <w:color w:val="000000"/>
              </w:rPr>
              <w:t>2.提供日常监控服务。处理日常故障，随时处理用户在系统使用过程中所产生错误或发现的问题。对于用户日常提出的各种服务请求，根据请求的内容，做出相对应的服务响应，执行不同的服务方式，以最快速度解决用户的问题。</w:t>
            </w:r>
          </w:p>
          <w:p>
            <w:pPr>
              <w:pStyle w:val="null3"/>
              <w:ind w:firstLine="480"/>
              <w:jc w:val="both"/>
            </w:pPr>
            <w:r>
              <w:rPr>
                <w:rFonts w:ascii="仿宋_GB2312" w:hAnsi="仿宋_GB2312" w:cs="仿宋_GB2312" w:eastAsia="仿宋_GB2312"/>
                <w:sz w:val="24"/>
                <w:color w:val="000000"/>
              </w:rPr>
              <w:t>3.业务和技术支持。系统适应性支持是针对软件系统为适应外部环境的变化进行的系统修改活动。为保证系统版本的一致性，此类适应性支持，不在用户现场完成；由技术支持人员接受用户请求后，将应用系统的适应性需求提交给公司产品维护组进行统一的产品完善后，再部署到用户服务器上。公司产品维护组配备了一批技术力量强，熟悉本产品、经验丰富的工程师，对本产品进行统一的维护、测试，即保证了产品版本的一致性，也保证了产品设计的整体性，和应用系统的高性能，为系统的长期稳定运行打下良好基础。</w:t>
            </w:r>
          </w:p>
          <w:p>
            <w:pPr>
              <w:pStyle w:val="null3"/>
              <w:ind w:firstLine="480"/>
              <w:jc w:val="both"/>
            </w:pPr>
            <w:r>
              <w:rPr>
                <w:rFonts w:ascii="仿宋_GB2312" w:hAnsi="仿宋_GB2312" w:cs="仿宋_GB2312" w:eastAsia="仿宋_GB2312"/>
                <w:sz w:val="24"/>
                <w:color w:val="000000"/>
              </w:rPr>
              <w:t>4.系统完善性支持。在应用系统运行过程中，由于多种原因，需要增加对应用系统功能，或对已有的功能进行改善。为满足此类需求，对应用系统进行完善性技术支持。为保证应用系统版本的一致性，此类完善性维护，不在用户现场完成；由技术支持人员接受用户请求后，将应用系统的适应性需求提交给公司产品维护组进行统一的产品完善后，再部署到用户服务器上；产品业务或技术咨询，对用户日常业务运行过程中所需要购买的信息化产品提供业务或技术咨询服务。</w:t>
            </w:r>
          </w:p>
          <w:p>
            <w:pPr>
              <w:pStyle w:val="null3"/>
              <w:ind w:firstLine="480"/>
              <w:jc w:val="both"/>
            </w:pPr>
            <w:r>
              <w:rPr>
                <w:rFonts w:ascii="仿宋_GB2312" w:hAnsi="仿宋_GB2312" w:cs="仿宋_GB2312" w:eastAsia="仿宋_GB2312"/>
                <w:sz w:val="24"/>
                <w:color w:val="000000"/>
              </w:rPr>
              <w:t>5.第三方订阅服务费。为平台相关订阅服务和授权提供合同期期限续费。内容包括:</w:t>
            </w:r>
          </w:p>
          <w:p>
            <w:pPr>
              <w:pStyle w:val="null3"/>
              <w:ind w:firstLine="480"/>
              <w:jc w:val="both"/>
            </w:pPr>
            <w:r>
              <w:rPr>
                <w:rFonts w:ascii="仿宋_GB2312" w:hAnsi="仿宋_GB2312" w:cs="仿宋_GB2312" w:eastAsia="仿宋_GB2312"/>
                <w:sz w:val="24"/>
                <w:color w:val="000000"/>
              </w:rPr>
              <w:t>阿里云DATAV标准版；</w:t>
            </w:r>
          </w:p>
          <w:p>
            <w:pPr>
              <w:pStyle w:val="null3"/>
              <w:ind w:firstLine="480"/>
              <w:jc w:val="both"/>
            </w:pPr>
            <w:r>
              <w:rPr>
                <w:rFonts w:ascii="仿宋_GB2312" w:hAnsi="仿宋_GB2312" w:cs="仿宋_GB2312" w:eastAsia="仿宋_GB2312"/>
                <w:sz w:val="24"/>
                <w:color w:val="000000"/>
              </w:rPr>
              <w:t>平台域名续费及互联网域名租赁；</w:t>
            </w:r>
          </w:p>
          <w:p>
            <w:pPr>
              <w:pStyle w:val="null3"/>
              <w:ind w:firstLine="480"/>
              <w:jc w:val="both"/>
            </w:pPr>
            <w:r>
              <w:rPr>
                <w:rFonts w:ascii="仿宋_GB2312" w:hAnsi="仿宋_GB2312" w:cs="仿宋_GB2312" w:eastAsia="仿宋_GB2312"/>
                <w:sz w:val="24"/>
                <w:color w:val="000000"/>
              </w:rPr>
              <w:t>SSL证书及 HTTPS认证服务费；</w:t>
            </w:r>
          </w:p>
          <w:p>
            <w:pPr>
              <w:pStyle w:val="null3"/>
              <w:ind w:firstLine="480"/>
              <w:jc w:val="both"/>
            </w:pPr>
            <w:r>
              <w:rPr>
                <w:rFonts w:ascii="仿宋_GB2312" w:hAnsi="仿宋_GB2312" w:cs="仿宋_GB2312" w:eastAsia="仿宋_GB2312"/>
                <w:sz w:val="24"/>
                <w:color w:val="000000"/>
              </w:rPr>
              <w:t>文件转换及互联网中转服务器续费；</w:t>
            </w:r>
          </w:p>
          <w:p>
            <w:pPr>
              <w:pStyle w:val="null3"/>
              <w:ind w:firstLine="480"/>
              <w:jc w:val="both"/>
            </w:pPr>
            <w:r>
              <w:rPr>
                <w:rFonts w:ascii="仿宋_GB2312" w:hAnsi="仿宋_GB2312" w:cs="仿宋_GB2312" w:eastAsia="仿宋_GB2312"/>
                <w:sz w:val="24"/>
                <w:color w:val="000000"/>
              </w:rPr>
              <w:t>手写签名服务及相关租赁费用；</w:t>
            </w:r>
          </w:p>
          <w:p>
            <w:pPr>
              <w:pStyle w:val="null3"/>
              <w:ind w:firstLine="480"/>
              <w:jc w:val="both"/>
            </w:pPr>
            <w:r>
              <w:rPr>
                <w:rFonts w:ascii="仿宋_GB2312" w:hAnsi="仿宋_GB2312" w:cs="仿宋_GB2312" w:eastAsia="仿宋_GB2312"/>
                <w:sz w:val="24"/>
                <w:color w:val="000000"/>
              </w:rPr>
              <w:t>6.“高新区企业直通车”微信公众号维护。</w:t>
            </w:r>
          </w:p>
          <w:p>
            <w:pPr>
              <w:pStyle w:val="null3"/>
              <w:jc w:val="both"/>
            </w:pPr>
            <w:r>
              <w:rPr>
                <w:rFonts w:ascii="仿宋_GB2312" w:hAnsi="仿宋_GB2312" w:cs="仿宋_GB2312" w:eastAsia="仿宋_GB2312"/>
                <w:sz w:val="24"/>
                <w:color w:val="000000"/>
              </w:rPr>
              <w:t>平台办公众号的信息和运营维护服务，公众号日常信息的维护工作，每周根据平台办的工作情况，对外披露和发布相关的业务信息；接听公众号的对外服务统一热线，按照办公室要求完成相关的业务信息答复和处理；推广公众号的用户群体，完成公众号的运维服务，保障业务系统稳定运行；提供对微信公众号页面模板更新和小程序推送消息的更新运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按照合同约定完成第三方续费手续后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响应文件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 （6分）</w:t>
            </w:r>
          </w:p>
        </w:tc>
        <w:tc>
          <w:tcPr>
            <w:tcW w:type="dxa" w:w="2492"/>
          </w:tcPr>
          <w:p>
            <w:pPr>
              <w:pStyle w:val="null3"/>
            </w:pPr>
            <w:r>
              <w:rPr>
                <w:rFonts w:ascii="仿宋_GB2312" w:hAnsi="仿宋_GB2312" w:cs="仿宋_GB2312" w:eastAsia="仿宋_GB2312"/>
              </w:rPr>
              <w:t>投标供应商提供自 2022年07月01日至今（以合同签订时间为准）的类似项目业绩。提供一份得2分，最多不超过6分。 （合同复印件加盖公章附在响应文件中,否则不作为评审依据）。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项目团队服务能力 （7分）</w:t>
            </w:r>
          </w:p>
        </w:tc>
        <w:tc>
          <w:tcPr>
            <w:tcW w:type="dxa" w:w="2492"/>
          </w:tcPr>
          <w:p>
            <w:pPr>
              <w:pStyle w:val="null3"/>
            </w:pPr>
            <w:r>
              <w:rPr>
                <w:rFonts w:ascii="仿宋_GB2312" w:hAnsi="仿宋_GB2312" w:cs="仿宋_GB2312" w:eastAsia="仿宋_GB2312"/>
              </w:rPr>
              <w:t>1.项目团队8人及以上得6分， 4-7得3分，3人以下得1分；其他不得分。（提供人员清单列表及相关证书复印件） 2.承诺保持项目团队人员的稳定性、连续性，在项目全过程中不发生项目经理、主要技术人员等核心人员的变动，得1分。（须提供承诺函并加盖公章，否则不得分）。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需求分析 （6分）</w:t>
            </w:r>
          </w:p>
        </w:tc>
        <w:tc>
          <w:tcPr>
            <w:tcW w:type="dxa" w:w="2492"/>
          </w:tcPr>
          <w:p>
            <w:pPr>
              <w:pStyle w:val="null3"/>
            </w:pPr>
            <w:r>
              <w:rPr>
                <w:rFonts w:ascii="仿宋_GB2312" w:hAnsi="仿宋_GB2312" w:cs="仿宋_GB2312" w:eastAsia="仿宋_GB2312"/>
              </w:rPr>
              <w:t>对本项目的建设背景、应用场景、建设需求、业务需求等进行分析： 分析透彻，描述详细，无遗漏得6分；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 （10分）</w:t>
            </w:r>
          </w:p>
        </w:tc>
        <w:tc>
          <w:tcPr>
            <w:tcW w:type="dxa" w:w="2492"/>
          </w:tcPr>
          <w:p>
            <w:pPr>
              <w:pStyle w:val="null3"/>
            </w:pPr>
            <w:r>
              <w:rPr>
                <w:rFonts w:ascii="仿宋_GB2312" w:hAnsi="仿宋_GB2312" w:cs="仿宋_GB2312" w:eastAsia="仿宋_GB2312"/>
              </w:rPr>
              <w:t>项目实施计划应包括需求分析、运维、部署、验收、软件质量保证措施（包括组织、制度、计划、问题追踪、评审等）1、内容完整全面、合理周密、措施有力、质量、进度控制保证措施切实可行的，得10分；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 （10分）</w:t>
            </w:r>
          </w:p>
        </w:tc>
        <w:tc>
          <w:tcPr>
            <w:tcW w:type="dxa" w:w="2492"/>
          </w:tcPr>
          <w:p>
            <w:pPr>
              <w:pStyle w:val="null3"/>
            </w:pPr>
            <w:r>
              <w:rPr>
                <w:rFonts w:ascii="仿宋_GB2312" w:hAnsi="仿宋_GB2312" w:cs="仿宋_GB2312" w:eastAsia="仿宋_GB2312"/>
              </w:rPr>
              <w:t>根据售后服务机构的设置、售后服务方案、运行维护方案，包括响应能力、紧急故障处理预案、服务响应时间、故障恢复时间等内容进行评审。 方案内容全面，科学合理可行，针对性强得10分；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安全、保密管理方案 （6分）</w:t>
            </w:r>
          </w:p>
        </w:tc>
        <w:tc>
          <w:tcPr>
            <w:tcW w:type="dxa" w:w="2492"/>
          </w:tcPr>
          <w:p>
            <w:pPr>
              <w:pStyle w:val="null3"/>
            </w:pPr>
            <w:r>
              <w:rPr>
                <w:rFonts w:ascii="仿宋_GB2312" w:hAnsi="仿宋_GB2312" w:cs="仿宋_GB2312" w:eastAsia="仿宋_GB2312"/>
              </w:rPr>
              <w:t>一、评审内容 针对本项目提出的安全、保密管理方案，方案内容包含 ①安全管理方案②保密管理方案。 二、评审标准 1、完整性：方案全面，科学合理，对评审内容中的各项要求有详细描述及说明； 2、可实施性：切合本项目实际情况，步骤清晰、合理； 3、针对性：方案能够紧扣项目实际情况，内容科学合理。 三、赋分标准(满分6分) ①安全管理方案：每完全满足一项评审标准得1分，每有一处缺陷扣0.5分，扣完为止，不计负分，本项满分3分； ②保密管理方案：每完全满足一项评审标准得1分，每有一处缺陷扣0.5分，扣完为止，不计负分，本项满分3分。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延伸开发方案（10分）</w:t>
            </w:r>
          </w:p>
        </w:tc>
        <w:tc>
          <w:tcPr>
            <w:tcW w:type="dxa" w:w="2492"/>
          </w:tcPr>
          <w:p>
            <w:pPr>
              <w:pStyle w:val="null3"/>
            </w:pPr>
            <w:r>
              <w:rPr>
                <w:rFonts w:ascii="仿宋_GB2312" w:hAnsi="仿宋_GB2312" w:cs="仿宋_GB2312" w:eastAsia="仿宋_GB2312"/>
              </w:rPr>
              <w:t>针对本项目食品安全视频Ai事件处置能力及企业直通车改造及接入i西安提出延伸开发方案，方案全面，科学合理，对评审内容中的各项要求有详细描述及说明；切合本项目实际情况，步骤清晰、合理；方案能够紧扣项目实际情况，内容科学合理得10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涉企互联网数据更新服务方案 （8分）</w:t>
            </w:r>
          </w:p>
        </w:tc>
        <w:tc>
          <w:tcPr>
            <w:tcW w:type="dxa" w:w="2492"/>
          </w:tcPr>
          <w:p>
            <w:pPr>
              <w:pStyle w:val="null3"/>
            </w:pPr>
            <w:r>
              <w:rPr>
                <w:rFonts w:ascii="仿宋_GB2312" w:hAnsi="仿宋_GB2312" w:cs="仿宋_GB2312" w:eastAsia="仿宋_GB2312"/>
              </w:rPr>
              <w:t>针对本项目涉企互联网数据更新提出的服务方案，方案全面，科学合理，对评审内容中的各项要求有详细描述及说明；切合本项目实际情况，步骤清晰、合理；方案能够紧扣项目实际情况，内容科学合理得8分。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数据对接与系统融合方案 （9分）</w:t>
            </w:r>
          </w:p>
        </w:tc>
        <w:tc>
          <w:tcPr>
            <w:tcW w:type="dxa" w:w="2492"/>
          </w:tcPr>
          <w:p>
            <w:pPr>
              <w:pStyle w:val="null3"/>
            </w:pPr>
            <w:r>
              <w:rPr>
                <w:rFonts w:ascii="仿宋_GB2312" w:hAnsi="仿宋_GB2312" w:cs="仿宋_GB2312" w:eastAsia="仿宋_GB2312"/>
              </w:rPr>
              <w:t>针对本项目提出的（西安市数据一体化平台的接入和数据共享及智慧市监数据融合）数据对接与系统融合方案，方案全面，科学合理，对评审内容中的各项要求有详细描述及说明；切合本项目实际情况，步骤清晰、合理；方案能够紧扣项目实际情况，内容科学合理得9分。 方案每有一处缺陷扣0.5分，扣完为止，不计负分。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运维服务方案 （18分）</w:t>
            </w:r>
          </w:p>
        </w:tc>
        <w:tc>
          <w:tcPr>
            <w:tcW w:type="dxa" w:w="2492"/>
          </w:tcPr>
          <w:p>
            <w:pPr>
              <w:pStyle w:val="null3"/>
            </w:pPr>
            <w:r>
              <w:rPr>
                <w:rFonts w:ascii="仿宋_GB2312" w:hAnsi="仿宋_GB2312" w:cs="仿宋_GB2312" w:eastAsia="仿宋_GB2312"/>
              </w:rPr>
              <w:t>一、评审内容 针对本项目提出的培训方案，方案内容包含①综合监管平台日常运维服务②日常监控服务方案③业务和技术支持④系统完善性支持⑤第三方付费内容的续费方案⑥“高新区企业直通车”微信公众号维护。 二、评审标准 1、完整性：方案全面，科学合理，对评审内容中的各项要求有详细描述及说明； 2、可实施性：切合本项目实际情况，步骤清晰、合理； 3、针对性：方案能够紧扣项目实际情况，内容科学合理。 三、赋分标准(满分18分) ①综合监管平台日常运维服务：每完全满足一项评审标准得1分，每有一处缺陷扣0.5分，扣完为止，不计负分，本项满分3分； ②日常监控服务方案：每完全满足一项评审标准得1分，每有一处缺陷扣0.5分，扣完为止，不计负分，本项满分3分； ③业务和技术支持：每完全满足一项评审标准得1分，每有一处缺陷扣0.5分，扣完为止，不计负分，本项满分3分； ④系统完善性支持：每完全满足一项评审标准得1分，每有一处缺陷扣0.5分，扣完为止，不计负分，本项满分3分； ⑤第三方付费内容的续费方案：每完全满足一项评审标准得1分，每有一处缺陷扣0.5分，扣完为止，不计负分，本项满分3分； ⑥“高新区企业直通车”微信公众号维护：每完全满足一项评审标准得1分，每有一处缺陷扣0.5分，扣完为止，不计负分，本项满分3分。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实质性满足招标文件要求且最后磋商总价格最低的磋商总报价为评标基准价，其价格分为满分10分。 其它投标供应商磋商总报价得分=（评标基准价/最后磋商总报价）*10分。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