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A2C604">
      <w:pPr>
        <w:keepNext w:val="0"/>
        <w:keepLines w:val="0"/>
        <w:pageBreakBefore w:val="0"/>
        <w:widowControl w:val="0"/>
        <w:tabs>
          <w:tab w:val="left" w:pos="903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outlineLvl w:val="0"/>
        <w:rPr>
          <w:rFonts w:hint="eastAsia" w:ascii="宋体" w:hAnsi="宋体" w:cs="宋体"/>
          <w:sz w:val="48"/>
          <w:szCs w:val="48"/>
        </w:rPr>
      </w:pPr>
      <w:bookmarkStart w:id="0" w:name="_GoBack"/>
      <w:bookmarkEnd w:id="0"/>
      <w:r>
        <w:rPr>
          <w:rStyle w:val="11"/>
          <w:rFonts w:hint="eastAsia" w:hAnsi="Times New Roman" w:cs="Times New Roman"/>
          <w:b/>
          <w:bCs/>
          <w:sz w:val="36"/>
          <w:szCs w:val="36"/>
          <w:lang w:val="zh-CN" w:eastAsia="zh-CN"/>
        </w:rPr>
        <w:t>拟签订的合同条款文本</w:t>
      </w:r>
    </w:p>
    <w:p w14:paraId="54D89CC0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甲方（采购人）： </w:t>
      </w:r>
    </w:p>
    <w:p w14:paraId="4CB6BA1C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乙方（供应商）： </w:t>
      </w:r>
    </w:p>
    <w:p w14:paraId="5558D368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>西安高新区第十六小学智慧黑板设备采购项目(项目编号：SXHC2025-179，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由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陕西华采招标有限公司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组织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竞争性磋商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(以下简称“甲方”)确定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（以下简称“乙方”）为该项目的成交供应商。</w:t>
      </w:r>
    </w:p>
    <w:p w14:paraId="38D7FA67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依据《中华人民共和国民法典》和《中华人民共和国政府采购法》之规定，经双方在平等、自愿、互利的基础上，签订本合同，共同信守。</w:t>
      </w:r>
    </w:p>
    <w:p w14:paraId="66607E78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一、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/>
        </w:rPr>
        <w:t>合同标的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物内容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/>
        </w:rPr>
        <w:t>及数量</w:t>
      </w:r>
    </w:p>
    <w:p w14:paraId="23F3DA24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zh-CN"/>
        </w:rPr>
        <w:t>乙方向甲方提供下列货物（产品）：</w:t>
      </w:r>
    </w:p>
    <w:tbl>
      <w:tblPr>
        <w:tblStyle w:val="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649"/>
        <w:gridCol w:w="1481"/>
        <w:gridCol w:w="531"/>
        <w:gridCol w:w="717"/>
        <w:gridCol w:w="890"/>
        <w:gridCol w:w="1450"/>
        <w:gridCol w:w="1737"/>
      </w:tblGrid>
      <w:tr w14:paraId="7F9F09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noWrap w:val="0"/>
            <w:vAlign w:val="center"/>
          </w:tcPr>
          <w:p w14:paraId="7084D83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序号</w:t>
            </w:r>
          </w:p>
        </w:tc>
        <w:tc>
          <w:tcPr>
            <w:tcW w:w="1649" w:type="dxa"/>
            <w:noWrap w:val="0"/>
            <w:vAlign w:val="center"/>
          </w:tcPr>
          <w:p w14:paraId="6D5AA9F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设备名称</w:t>
            </w:r>
          </w:p>
        </w:tc>
        <w:tc>
          <w:tcPr>
            <w:tcW w:w="1481" w:type="dxa"/>
            <w:noWrap w:val="0"/>
            <w:vAlign w:val="center"/>
          </w:tcPr>
          <w:p w14:paraId="268BC4E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品牌/型号</w:t>
            </w:r>
          </w:p>
        </w:tc>
        <w:tc>
          <w:tcPr>
            <w:tcW w:w="531" w:type="dxa"/>
            <w:noWrap w:val="0"/>
            <w:vAlign w:val="center"/>
          </w:tcPr>
          <w:p w14:paraId="3BEB2B8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规格</w:t>
            </w:r>
          </w:p>
        </w:tc>
        <w:tc>
          <w:tcPr>
            <w:tcW w:w="717" w:type="dxa"/>
            <w:noWrap w:val="0"/>
            <w:vAlign w:val="center"/>
          </w:tcPr>
          <w:p w14:paraId="34DF10B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单位</w:t>
            </w:r>
          </w:p>
        </w:tc>
        <w:tc>
          <w:tcPr>
            <w:tcW w:w="890" w:type="dxa"/>
            <w:noWrap w:val="0"/>
            <w:vAlign w:val="center"/>
          </w:tcPr>
          <w:p w14:paraId="2960427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数量</w:t>
            </w:r>
          </w:p>
        </w:tc>
        <w:tc>
          <w:tcPr>
            <w:tcW w:w="1450" w:type="dxa"/>
            <w:noWrap w:val="0"/>
            <w:vAlign w:val="center"/>
          </w:tcPr>
          <w:p w14:paraId="14D43F9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单价（元）</w:t>
            </w:r>
          </w:p>
        </w:tc>
        <w:tc>
          <w:tcPr>
            <w:tcW w:w="1737" w:type="dxa"/>
            <w:noWrap w:val="0"/>
            <w:vAlign w:val="center"/>
          </w:tcPr>
          <w:p w14:paraId="4CE9064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  <w:t>总价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 xml:space="preserve"> (元)</w:t>
            </w:r>
          </w:p>
        </w:tc>
      </w:tr>
      <w:tr w14:paraId="626B40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noWrap w:val="0"/>
            <w:vAlign w:val="top"/>
          </w:tcPr>
          <w:p w14:paraId="16B89349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649" w:type="dxa"/>
            <w:noWrap w:val="0"/>
            <w:vAlign w:val="top"/>
          </w:tcPr>
          <w:p w14:paraId="1BBC8FA9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481" w:type="dxa"/>
            <w:noWrap w:val="0"/>
            <w:vAlign w:val="top"/>
          </w:tcPr>
          <w:p w14:paraId="6837F47D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531" w:type="dxa"/>
            <w:noWrap w:val="0"/>
            <w:vAlign w:val="top"/>
          </w:tcPr>
          <w:p w14:paraId="7FF0EB2E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717" w:type="dxa"/>
            <w:noWrap w:val="0"/>
            <w:vAlign w:val="top"/>
          </w:tcPr>
          <w:p w14:paraId="10247CFE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890" w:type="dxa"/>
            <w:noWrap w:val="0"/>
            <w:vAlign w:val="top"/>
          </w:tcPr>
          <w:p w14:paraId="6C03DA61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450" w:type="dxa"/>
            <w:noWrap w:val="0"/>
            <w:vAlign w:val="top"/>
          </w:tcPr>
          <w:p w14:paraId="0AA8BA77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737" w:type="dxa"/>
            <w:noWrap w:val="0"/>
            <w:vAlign w:val="top"/>
          </w:tcPr>
          <w:p w14:paraId="7060F20D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 w14:paraId="78D4F5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noWrap w:val="0"/>
            <w:vAlign w:val="top"/>
          </w:tcPr>
          <w:p w14:paraId="5FEE93B0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649" w:type="dxa"/>
            <w:noWrap w:val="0"/>
            <w:vAlign w:val="top"/>
          </w:tcPr>
          <w:p w14:paraId="06B15872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481" w:type="dxa"/>
            <w:noWrap w:val="0"/>
            <w:vAlign w:val="top"/>
          </w:tcPr>
          <w:p w14:paraId="4517249D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531" w:type="dxa"/>
            <w:noWrap w:val="0"/>
            <w:vAlign w:val="top"/>
          </w:tcPr>
          <w:p w14:paraId="29A0A892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717" w:type="dxa"/>
            <w:noWrap w:val="0"/>
            <w:vAlign w:val="top"/>
          </w:tcPr>
          <w:p w14:paraId="40B13DA5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890" w:type="dxa"/>
            <w:noWrap w:val="0"/>
            <w:vAlign w:val="top"/>
          </w:tcPr>
          <w:p w14:paraId="7051B056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450" w:type="dxa"/>
            <w:noWrap w:val="0"/>
            <w:vAlign w:val="top"/>
          </w:tcPr>
          <w:p w14:paraId="12FE96AD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737" w:type="dxa"/>
            <w:noWrap w:val="0"/>
            <w:vAlign w:val="top"/>
          </w:tcPr>
          <w:p w14:paraId="6CF17C53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 w14:paraId="580004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noWrap w:val="0"/>
            <w:vAlign w:val="top"/>
          </w:tcPr>
          <w:p w14:paraId="3CD29C78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649" w:type="dxa"/>
            <w:noWrap w:val="0"/>
            <w:vAlign w:val="top"/>
          </w:tcPr>
          <w:p w14:paraId="4B934D54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481" w:type="dxa"/>
            <w:noWrap w:val="0"/>
            <w:vAlign w:val="top"/>
          </w:tcPr>
          <w:p w14:paraId="2924303E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531" w:type="dxa"/>
            <w:noWrap w:val="0"/>
            <w:vAlign w:val="top"/>
          </w:tcPr>
          <w:p w14:paraId="1E9ADB70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717" w:type="dxa"/>
            <w:noWrap w:val="0"/>
            <w:vAlign w:val="top"/>
          </w:tcPr>
          <w:p w14:paraId="5EE7042C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890" w:type="dxa"/>
            <w:noWrap w:val="0"/>
            <w:vAlign w:val="top"/>
          </w:tcPr>
          <w:p w14:paraId="2C424559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450" w:type="dxa"/>
            <w:noWrap w:val="0"/>
            <w:vAlign w:val="top"/>
          </w:tcPr>
          <w:p w14:paraId="7A7F6BF3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737" w:type="dxa"/>
            <w:noWrap w:val="0"/>
            <w:vAlign w:val="top"/>
          </w:tcPr>
          <w:p w14:paraId="4B22DD39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 w14:paraId="5B2AE5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2465" w:type="dxa"/>
            <w:gridSpan w:val="2"/>
            <w:noWrap w:val="0"/>
            <w:vAlign w:val="center"/>
          </w:tcPr>
          <w:p w14:paraId="6A7531A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合计</w:t>
            </w:r>
          </w:p>
        </w:tc>
        <w:tc>
          <w:tcPr>
            <w:tcW w:w="3619" w:type="dxa"/>
            <w:gridSpan w:val="4"/>
            <w:noWrap w:val="0"/>
            <w:vAlign w:val="center"/>
          </w:tcPr>
          <w:p w14:paraId="608112E3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大写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 xml:space="preserve">           </w:t>
            </w:r>
          </w:p>
        </w:tc>
        <w:tc>
          <w:tcPr>
            <w:tcW w:w="3187" w:type="dxa"/>
            <w:gridSpan w:val="2"/>
            <w:noWrap w:val="0"/>
            <w:vAlign w:val="center"/>
          </w:tcPr>
          <w:p w14:paraId="13262F09">
            <w:pPr>
              <w:autoSpaceDE w:val="0"/>
              <w:autoSpaceDN w:val="0"/>
              <w:adjustRightInd w:val="0"/>
              <w:snapToGrid w:val="0"/>
              <w:ind w:firstLine="560" w:firstLineChars="200"/>
              <w:jc w:val="left"/>
              <w:rPr>
                <w:rFonts w:hint="default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¥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 xml:space="preserve">           </w:t>
            </w:r>
          </w:p>
        </w:tc>
      </w:tr>
    </w:tbl>
    <w:p w14:paraId="36EAB3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二、合同价款</w:t>
      </w:r>
    </w:p>
    <w:p w14:paraId="33E359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（一）合同价款为人民币（大写）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（¥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）。</w:t>
      </w:r>
    </w:p>
    <w:p w14:paraId="2996195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（二）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合同价款包括不限于成本费、仓储费、运杂费（含运输费、保险费、包装费、装卸费）、管理费、利润、税金、不可预见费、政策性文件规定的各项应有费用及合同明示或暗示的所有一切风险、责任和义务的费用。</w:t>
      </w:r>
    </w:p>
    <w:p w14:paraId="5A6BF3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（三）合同价款一次性包死，不受市场价格变化因素的影响。</w:t>
      </w:r>
    </w:p>
    <w:p w14:paraId="7EF1A5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三、款项结算</w:t>
      </w:r>
    </w:p>
    <w:p w14:paraId="595499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（一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）付款方式：全部产品交货至指定地点并验收合格交付使用，达到付款条件起 30 日内，支付合同总金额的 100.00%。</w:t>
      </w:r>
    </w:p>
    <w:p w14:paraId="5C893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（二）支付方式：银行转账。</w:t>
      </w:r>
    </w:p>
    <w:p w14:paraId="66C9EF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（三）结算方式：乙方在每次接受甲方付款前，开具等额发票给甲方。</w:t>
      </w:r>
    </w:p>
    <w:p w14:paraId="008A5C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四、双方的权利和义务</w:t>
      </w:r>
    </w:p>
    <w:p w14:paraId="52420D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（一）甲方的权利与义务</w:t>
      </w:r>
    </w:p>
    <w:p w14:paraId="14E892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1.积极配合乙方安装、调试、验收工作。</w:t>
      </w:r>
    </w:p>
    <w:p w14:paraId="4F61B8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2.组织使用单位严格按照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磋商文件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及响应文件要求和标准验收货物。</w:t>
      </w:r>
    </w:p>
    <w:p w14:paraId="569D21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（二）乙方的权利与义务</w:t>
      </w:r>
    </w:p>
    <w:p w14:paraId="28DD92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1.保证对其出售的产品享有合法的权利，不存在任何未曾向甲方透露的担保物权，如抵押权、质押权、留置权。</w:t>
      </w:r>
    </w:p>
    <w:p w14:paraId="0088B4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2.保证对其出售的产品或其任何一部分没有侵犯第三方的专利权、版权、商标权或其他权利。</w:t>
      </w:r>
    </w:p>
    <w:p w14:paraId="6DDB4E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3.负责产品的运输、安装与调试，并在合同约定的时间完工，运输及安装施工全过程中的安全由乙方负责。</w:t>
      </w:r>
    </w:p>
    <w:p w14:paraId="38F739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4.按照合同约定要求甲方及时付款。</w:t>
      </w:r>
    </w:p>
    <w:p w14:paraId="37A258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五、交货条件</w:t>
      </w:r>
    </w:p>
    <w:p w14:paraId="727A4B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（一）交货期：自合同签订生效之日起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  <w:lang w:val="en-US" w:eastAsia="zh-CN"/>
        </w:rPr>
        <w:t xml:space="preserve">  20 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个日历日完成供货、安装及调试。</w:t>
      </w:r>
    </w:p>
    <w:p w14:paraId="3605F3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（二）交货地点：西安高新区范围内，具体以采购人指定地点为准。</w:t>
      </w:r>
    </w:p>
    <w:p w14:paraId="7CD5DA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六、运输及包装要求</w:t>
      </w:r>
    </w:p>
    <w:p w14:paraId="518DEC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一）乙方负责所有产品的运输，确保采购产品安全、完整到达采购人指定地点。运杂费一次性包死在总价内，采购人不再额外支付，包括从生产厂家到使用（安装）现场的包装、装载、运输、卸载、现场保管、二次倒运等费用。</w:t>
      </w:r>
    </w:p>
    <w:p w14:paraId="2DD15A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（二）运输方式由乙方自行选择，</w:t>
      </w:r>
      <w:r>
        <w:rPr>
          <w:rFonts w:hint="eastAsia" w:ascii="仿宋_GB2312" w:hAnsi="仿宋_GB2312" w:eastAsia="仿宋_GB2312" w:cs="仿宋_GB2312"/>
          <w:color w:val="000000"/>
          <w:spacing w:val="-6"/>
          <w:kern w:val="0"/>
          <w:sz w:val="28"/>
          <w:szCs w:val="28"/>
          <w:lang w:bidi="ar"/>
        </w:rPr>
        <w:t>选择风险小、运费低、运距短的运输路线。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但必须保证按期交货所有采购产品在运输、搬运的过程中，造成甲方损失的，由乙方为甲方修复或更新。</w:t>
      </w:r>
    </w:p>
    <w:p w14:paraId="6E3FAD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（三）全部货物(产品)均应按照国家、行业规定的标准和保护措施进行包装，该包装应适应于远距离运输、防潮、防震、防锈和防野蛮装卸，以确保货物安全运抵指定地点。</w:t>
      </w:r>
    </w:p>
    <w:p w14:paraId="6F1E40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（四）当包装使用塑料、纸质、木材等包装材料时，除应当按照国家、行业规定的包装标准进行包装外，还需按照《商品包装政府采购需求标准(试行)》(财办库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〔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2020]123号)规定的环保要求进行包装。</w:t>
      </w:r>
    </w:p>
    <w:p w14:paraId="51C099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（五）当采用快递交货方式时，快递包装除应当按照国家、行业规定的包装标准进行包装外，还需按照《快递包装政府采购需求标准(试行)》(财办库 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〔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2020〕123号)规定的环保要求进行包装。</w:t>
      </w:r>
    </w:p>
    <w:p w14:paraId="03C0FB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七、质量保证</w:t>
      </w:r>
    </w:p>
    <w:p w14:paraId="00F18F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（一）乙方须提供全新的、未使用过的合格正品产品（含零部件、配件等），完全符合合同规定的质量、规格和性能的要求。</w:t>
      </w:r>
    </w:p>
    <w:p w14:paraId="5FFF17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（二）质量标准按照最新颁布的国家标准、行业标准或制造商企业标准确定，上述标准不一致的，以严格标准为准。</w:t>
      </w:r>
    </w:p>
    <w:p w14:paraId="1BF917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（三）乙方所提供产品还应符合国家和陕西省有关安全、环保、节能之规定，“3C”认证的货物（产品）应加贴“3C”认证标志。</w:t>
      </w:r>
    </w:p>
    <w:p w14:paraId="158F73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highlight w:val="none"/>
        </w:rPr>
        <w:t xml:space="preserve"> （四）质保期：产品的质保期不少于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highlight w:val="none"/>
        </w:rPr>
        <w:t>年。</w:t>
      </w:r>
    </w:p>
    <w:p w14:paraId="53153B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703" w:firstLineChars="25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八、售后服务</w:t>
      </w:r>
    </w:p>
    <w:p w14:paraId="6D7790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乙方应按照国家有关法律法规和“三包”规定以及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磋商文件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要求和响应文件中的“售后服务承诺”提供售后服务，但至少包括以下方面：</w:t>
      </w:r>
    </w:p>
    <w:p w14:paraId="48D5EE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（一）乙方必须按照合同约定和响应文件的实质性响应，质保期内免费承担维保。质保期结束前，进行系统测试，全面保养维护，确保正常运行，质保期后对产品维修只收取成本费。</w:t>
      </w:r>
    </w:p>
    <w:p w14:paraId="03FB46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（二）人员培训：当产品安装调试结束后，乙方应对所使用人员进行培训，并制作培训教材以便使用。</w:t>
      </w:r>
    </w:p>
    <w:p w14:paraId="04547F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（三）乙方应保证以优惠价格提供长期备件的供应，乙方有义务尽快提供所需要更换的部件，对于要求紧急部件，乙方应安排最快的方式运输。</w:t>
      </w:r>
    </w:p>
    <w:p w14:paraId="2CA3D6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（四）乙方必须在2小时内对甲方所提出的维修要求做出实质性反应。</w:t>
      </w:r>
    </w:p>
    <w:p w14:paraId="7CD8CF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（五）乙方在接到故障申报后，必须在2小时内响应，需要现场维护的，4小时内到达现场，并提供7×24小时的电话技术支持。</w:t>
      </w:r>
    </w:p>
    <w:p w14:paraId="7C9CF9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（六）乙方定期对用户进行回访，并对用户提出的技术问题及时解决。</w:t>
      </w:r>
    </w:p>
    <w:p w14:paraId="5F7351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（七）乙方向甲方递交产品实施过程中的所有资料。以便甲方日后管理和维护。</w:t>
      </w:r>
    </w:p>
    <w:p w14:paraId="64F16A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九、验收</w:t>
      </w:r>
    </w:p>
    <w:p w14:paraId="6309EF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硬件设备到达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甲方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指定地点后，组织现场开箱请点验货。所到设备的型号和数量必须与合同一致，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甲方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和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乙方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共同签署到货验收单。未签收到货验收单的货物不得擅自开箱安装。</w:t>
      </w:r>
    </w:p>
    <w:p w14:paraId="24A464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乙方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保证合同所有设备是全新的（包括零部件），其规格参数及配件不低于（符合）本项目磋商文件和响应文件的要求。</w:t>
      </w:r>
    </w:p>
    <w:p w14:paraId="58D343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安装完成，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乙方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进行自测并形成自测报告（软硬件），出现的问题限期整改。自检最终通过后，乙方提出验收申请，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甲方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组织相关人员进行最终验收。</w:t>
      </w:r>
    </w:p>
    <w:p w14:paraId="41F669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设备采购从通过最终验收之日起进入保修期，提供原厂保修升级。</w:t>
      </w:r>
    </w:p>
    <w:p w14:paraId="040034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）验收依据：</w:t>
      </w:r>
    </w:p>
    <w:p w14:paraId="40D548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1.本合同及附加文本；</w:t>
      </w:r>
    </w:p>
    <w:p w14:paraId="4D3041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2.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磋商文件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、成交供应商的响应文件及澄清（承诺）函；</w:t>
      </w:r>
    </w:p>
    <w:p w14:paraId="75FD2B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3.国家相应的标准、规范。</w:t>
      </w:r>
    </w:p>
    <w:p w14:paraId="79088C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十、违约责任</w:t>
      </w:r>
    </w:p>
    <w:p w14:paraId="257368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（一）按《中华人民共和国民法典》中的相关条款执行。</w:t>
      </w:r>
    </w:p>
    <w:p w14:paraId="632A6B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（二）乙方较好期每超过一天，扣除乙方合同总价款的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>0.2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%，迟交产品超过30天，甲方有权拒收产品。</w:t>
      </w:r>
    </w:p>
    <w:p w14:paraId="0124E0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三）按合同要求提供产品或产品质量不能满足采购技术要求，乙方必须无条件更换产品，提高技术，完善质量，否则，甲方会同监督机构、采购代理机构有权终止合同并对乙方违约行为进行追究，同时按政府采购供应商管理办法进行相应的处罚。</w:t>
      </w:r>
    </w:p>
    <w:p w14:paraId="06583B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（四）任何一方因不可抗力原因不能履行协议时，应尽快通知对方，双方均设法补偿。如仍无法履约协议，可协商延缓或撤销协议，双方责任免除。</w:t>
      </w:r>
    </w:p>
    <w:p w14:paraId="458F70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十一、合同争议解决的方式</w:t>
      </w:r>
    </w:p>
    <w:p w14:paraId="259E63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（一）本合同在履行过程中发生的争议，由甲、乙双方当事人协商解决，协商不成的按下列第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 xml:space="preserve"> 2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种方式解决：</w:t>
      </w:r>
    </w:p>
    <w:p w14:paraId="550CB6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1.提交甲方所在地仲裁委员会仲裁；</w:t>
      </w:r>
    </w:p>
    <w:p w14:paraId="1BCA30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2.依法向甲方所在地人民法院起诉。</w:t>
      </w:r>
    </w:p>
    <w:p w14:paraId="2070B1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（二）因质量问题发生的争议，由国家权威技术单位进行质量鉴定，该鉴定结论为最终结果，甲乙双方应当接受。</w:t>
      </w:r>
    </w:p>
    <w:p w14:paraId="53A7B4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十二、合同生效</w:t>
      </w:r>
    </w:p>
    <w:p w14:paraId="1ED2BA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（一）本合同须经甲、乙双方的法定代表人（授权代理人）在合同书上签字并加盖本单位公章后正式生效。</w:t>
      </w:r>
    </w:p>
    <w:p w14:paraId="185707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（二）合同生效后，甲、乙双方须严格执行本合同条款的规定，全面履行合同，违者按《中华人民共和国民法典》的有关规定承担相应责任。</w:t>
      </w:r>
    </w:p>
    <w:p w14:paraId="04EDA8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（三）本合同一式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份，甲乙双方各执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份。</w:t>
      </w:r>
    </w:p>
    <w:p w14:paraId="57C20F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（四）本合同如有未尽事宜，甲、乙双方协商解决。</w:t>
      </w:r>
    </w:p>
    <w:p w14:paraId="1A43617B">
      <w:pPr>
        <w:autoSpaceDE w:val="0"/>
        <w:autoSpaceDN w:val="0"/>
        <w:adjustRightInd w:val="0"/>
        <w:snapToGrid w:val="0"/>
        <w:spacing w:line="360" w:lineRule="auto"/>
        <w:ind w:firstLine="160" w:firstLineChars="200"/>
        <w:rPr>
          <w:rFonts w:hint="eastAsia" w:ascii="仿宋_GB2312" w:hAnsi="仿宋_GB2312" w:eastAsia="仿宋_GB2312" w:cs="仿宋_GB2312"/>
          <w:bCs/>
          <w:sz w:val="8"/>
          <w:szCs w:val="8"/>
        </w:rPr>
      </w:pPr>
    </w:p>
    <w:tbl>
      <w:tblPr>
        <w:tblStyle w:val="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1"/>
        <w:gridCol w:w="4202"/>
      </w:tblGrid>
      <w:tr w14:paraId="738EAC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66CECA5C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甲  方</w:t>
            </w:r>
          </w:p>
        </w:tc>
        <w:tc>
          <w:tcPr>
            <w:tcW w:w="4202" w:type="dxa"/>
            <w:noWrap w:val="0"/>
            <w:vAlign w:val="center"/>
          </w:tcPr>
          <w:p w14:paraId="3EAC178E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乙  方</w:t>
            </w:r>
          </w:p>
        </w:tc>
      </w:tr>
      <w:tr w14:paraId="015B9A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470FA326">
            <w:pPr>
              <w:autoSpaceDE w:val="0"/>
              <w:autoSpaceDN w:val="0"/>
              <w:adjustRightInd w:val="0"/>
              <w:ind w:firstLine="840" w:firstLineChars="35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（盖章）</w:t>
            </w:r>
          </w:p>
        </w:tc>
        <w:tc>
          <w:tcPr>
            <w:tcW w:w="4202" w:type="dxa"/>
            <w:noWrap w:val="0"/>
            <w:vAlign w:val="center"/>
          </w:tcPr>
          <w:p w14:paraId="5203D81D">
            <w:pPr>
              <w:autoSpaceDE w:val="0"/>
              <w:autoSpaceDN w:val="0"/>
              <w:adjustRightInd w:val="0"/>
              <w:ind w:firstLine="960" w:firstLineChars="40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（盖章）</w:t>
            </w:r>
          </w:p>
        </w:tc>
      </w:tr>
      <w:tr w14:paraId="27193A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24A82F10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 xml:space="preserve">地址： </w:t>
            </w:r>
          </w:p>
        </w:tc>
        <w:tc>
          <w:tcPr>
            <w:tcW w:w="4202" w:type="dxa"/>
            <w:noWrap w:val="0"/>
            <w:vAlign w:val="center"/>
          </w:tcPr>
          <w:p w14:paraId="60905720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地址：</w:t>
            </w:r>
          </w:p>
        </w:tc>
      </w:tr>
      <w:tr w14:paraId="2D92AF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0F2888B8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 xml:space="preserve">法定代表人： </w:t>
            </w:r>
          </w:p>
        </w:tc>
        <w:tc>
          <w:tcPr>
            <w:tcW w:w="4202" w:type="dxa"/>
            <w:noWrap w:val="0"/>
            <w:vAlign w:val="center"/>
          </w:tcPr>
          <w:p w14:paraId="2B131B8A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法定代表人：</w:t>
            </w:r>
          </w:p>
        </w:tc>
      </w:tr>
      <w:tr w14:paraId="37B4F7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6FAB3990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被授权代表：</w:t>
            </w:r>
          </w:p>
        </w:tc>
        <w:tc>
          <w:tcPr>
            <w:tcW w:w="4202" w:type="dxa"/>
            <w:noWrap w:val="0"/>
            <w:vAlign w:val="center"/>
          </w:tcPr>
          <w:p w14:paraId="1AC94263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被授权代表：</w:t>
            </w:r>
          </w:p>
        </w:tc>
      </w:tr>
      <w:tr w14:paraId="3A88B5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353AFF7E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电话：</w:t>
            </w:r>
          </w:p>
        </w:tc>
        <w:tc>
          <w:tcPr>
            <w:tcW w:w="4202" w:type="dxa"/>
            <w:noWrap w:val="0"/>
            <w:vAlign w:val="center"/>
          </w:tcPr>
          <w:p w14:paraId="2D4BCB83">
            <w:pPr>
              <w:autoSpaceDE w:val="0"/>
              <w:autoSpaceDN w:val="0"/>
              <w:adjustRightInd w:val="0"/>
              <w:ind w:left="720" w:hanging="720" w:hangingChars="30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电话：</w:t>
            </w:r>
          </w:p>
        </w:tc>
      </w:tr>
      <w:tr w14:paraId="291510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2653DB0B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传真：</w:t>
            </w:r>
          </w:p>
        </w:tc>
        <w:tc>
          <w:tcPr>
            <w:tcW w:w="4202" w:type="dxa"/>
            <w:noWrap w:val="0"/>
            <w:vAlign w:val="center"/>
          </w:tcPr>
          <w:p w14:paraId="742E5577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传真：</w:t>
            </w:r>
          </w:p>
        </w:tc>
      </w:tr>
      <w:tr w14:paraId="467A87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75268B60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开户银行：</w:t>
            </w:r>
          </w:p>
        </w:tc>
        <w:tc>
          <w:tcPr>
            <w:tcW w:w="4202" w:type="dxa"/>
            <w:noWrap w:val="0"/>
            <w:vAlign w:val="center"/>
          </w:tcPr>
          <w:p w14:paraId="2797F932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开户银行：</w:t>
            </w:r>
          </w:p>
        </w:tc>
      </w:tr>
      <w:tr w14:paraId="07E20C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393E2240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日期：</w:t>
            </w:r>
          </w:p>
        </w:tc>
        <w:tc>
          <w:tcPr>
            <w:tcW w:w="4202" w:type="dxa"/>
            <w:noWrap w:val="0"/>
            <w:vAlign w:val="center"/>
          </w:tcPr>
          <w:p w14:paraId="2F54CBA8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日期：</w:t>
            </w:r>
          </w:p>
        </w:tc>
      </w:tr>
    </w:tbl>
    <w:p w14:paraId="7C07B182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C00EFB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CC00EFB"/>
    <w:rsid w:val="3D1928D1"/>
    <w:rsid w:val="3F41226C"/>
    <w:rsid w:val="41271A71"/>
    <w:rsid w:val="427D3EB0"/>
    <w:rsid w:val="44C01FE2"/>
    <w:rsid w:val="485E59E4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1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4">
    <w:name w:val="heading 2"/>
    <w:basedOn w:val="1"/>
    <w:next w:val="1"/>
    <w:link w:val="10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5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 w:afterLines="0" w:afterAutospacing="0"/>
    </w:pPr>
  </w:style>
  <w:style w:type="paragraph" w:styleId="7">
    <w:name w:val="Normal Indent"/>
    <w:basedOn w:val="1"/>
    <w:autoRedefine/>
    <w:qFormat/>
    <w:uiPriority w:val="0"/>
    <w:pPr>
      <w:ind w:firstLine="420" w:firstLineChars="200"/>
    </w:pPr>
  </w:style>
  <w:style w:type="character" w:customStyle="1" w:styleId="10">
    <w:name w:val="标题 2 Char"/>
    <w:link w:val="4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1">
    <w:name w:val="标题 1 Char"/>
    <w:link w:val="3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2">
    <w:name w:val="标题 3 Char"/>
    <w:link w:val="5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2025-07-07T08:56:00Z</dcterms:created>
  <dc:creator>华采</dc:creator>
  <cp:lastModifiedBy>华采</cp:lastModifiedBy>
  <dcterms:modified xsi:type="dcterms:W3CDTF">2025-07-07T08:57:02Z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E321806280D24E1FB5EAEEA4FA9C3644_11</vt:lpwstr>
  </property>
  <property fmtid="{D5CDD505-2E9C-101B-9397-08002B2CF9AE}" pid="4" name="KSOTemplateDocerSaveRecord">
    <vt:lpwstr>eyJoZGlkIjoiZjJhNzdmOTM5YmVkNWYxMDI1ZDJkZDk5YzNhZTc2YzAiLCJ1c2VySWQiOiIyNzA3NjExMTQifQ==</vt:lpwstr>
  </property>
</Properties>
</file>