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363A04">
      <w:pPr>
        <w:pStyle w:val="2"/>
        <w:jc w:val="center"/>
        <w:outlineLvl w:val="1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shd w:val="clear" w:color="auto" w:fill="FFFFFF"/>
          <w:lang w:eastAsia="zh-CN"/>
        </w:rPr>
        <w:t>响应方案说明</w:t>
      </w:r>
    </w:p>
    <w:p w14:paraId="447D587E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1、供应商企业简介；</w:t>
      </w:r>
    </w:p>
    <w:p w14:paraId="707C72BB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、项目需求、项目现状的理解</w:t>
      </w:r>
    </w:p>
    <w:p w14:paraId="3FFE26EB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、设计构思方案</w:t>
      </w:r>
    </w:p>
    <w:p w14:paraId="66BECB4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、进度保障措施</w:t>
      </w:r>
    </w:p>
    <w:p w14:paraId="5554CD4E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、质量保障措施及承诺</w:t>
      </w:r>
    </w:p>
    <w:p w14:paraId="221F42D2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、色彩搭配方案</w:t>
      </w:r>
    </w:p>
    <w:p w14:paraId="28EDDB4C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、成本控制保证措施</w:t>
      </w:r>
    </w:p>
    <w:p w14:paraId="084B296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、管理制度</w:t>
      </w:r>
    </w:p>
    <w:p w14:paraId="3264FB74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、突发事件的应对措施</w:t>
      </w:r>
    </w:p>
    <w:p w14:paraId="486AAC3F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、人员配置</w:t>
      </w:r>
    </w:p>
    <w:p w14:paraId="51EE9EA3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、服务承诺</w:t>
      </w:r>
    </w:p>
    <w:p w14:paraId="0BE9C239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、供应商认为有必要提供而增加其竞争性的其它资料。</w:t>
      </w:r>
    </w:p>
    <w:p w14:paraId="429849EA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93236"/>
    <w:rsid w:val="44893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2025-07-02T07:41:00Z</dcterms:created>
  <dc:creator>西安辰和</dc:creator>
  <cp:lastModifiedBy>西安辰和</cp:lastModifiedBy>
  <dcterms:modified xsi:type="dcterms:W3CDTF">2025-07-02T07:41:22Z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7080475EEEA344E6A0B804641EA2BA3B_11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