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版本号：XACH2025-072、XDZ2025-130-J-5020250702001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西安高新区2025年楼宇媒体立面内容制作项目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XACH2025-072、XDZ2025-130-J-50</w:t>
      </w:r>
      <w:r>
        <w:br/>
      </w:r>
      <w:r>
        <w:br/>
      </w:r>
      <w:r>
        <w:br/>
      </w:r>
    </w:p>
    <w:p>
      <w:pPr>
        <w:pStyle w:val="null3"/>
        <w:jc w:val="center"/>
        <w:outlineLvl w:val="2"/>
      </w:pPr>
      <w:r>
        <w:rPr>
          <w:rFonts w:ascii="仿宋_GB2312" w:hAnsi="仿宋_GB2312" w:cs="仿宋_GB2312" w:eastAsia="仿宋_GB2312"/>
          <w:sz w:val="28"/>
          <w:b/>
        </w:rPr>
        <w:t>西安高新技术产业开发区城市管理和综合执法局</w:t>
      </w:r>
    </w:p>
    <w:p>
      <w:pPr>
        <w:pStyle w:val="null3"/>
        <w:jc w:val="center"/>
        <w:outlineLvl w:val="2"/>
      </w:pPr>
      <w:r>
        <w:rPr>
          <w:rFonts w:ascii="仿宋_GB2312" w:hAnsi="仿宋_GB2312" w:cs="仿宋_GB2312" w:eastAsia="仿宋_GB2312"/>
          <w:sz w:val="28"/>
          <w:b/>
        </w:rPr>
        <w:t>西安辰和工程咨询有限公司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西安辰和工程咨询有限公司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委托，拟对</w:t>
      </w:r>
      <w:r>
        <w:rPr>
          <w:rFonts w:ascii="仿宋_GB2312" w:hAnsi="仿宋_GB2312" w:cs="仿宋_GB2312" w:eastAsia="仿宋_GB2312"/>
        </w:rPr>
        <w:t>西安高新区2025年楼宇媒体立面内容制作项目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XACH2025-072、XDZ2025-130-J-50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西安高新区2025年楼宇媒体立面内容制作项目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节假日及高新区承担的重大活动画面内容的制作，例如“元旦”、“春节”、“五一”、“十一”和省市要求的社会公益宣传活动等，内容要求积极健康、倡导正能量，展现节日主题和高新区特点。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采购包1（西安高新区2025年楼宇媒体立面内容制作项目）：属于专门面向中小企业采购。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磋商全过程：法定代表人授权委托书（附法定代表人身份证复印件）及被授权委托人身份证复印件（法定代表人参加磋商只需提供法定代表人身份证复印件）；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4、非联合体磋商：非联合体磋商声明；供应商需在项目电子化交易系统中按要求上传相应证明文件并进行电子签章。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029-89199037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西安辰和工程咨询有限公司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西安高新区锦业路59号高科智慧园B座四层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齐莎莎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029-82286063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国家计委关于印发&lt;招标代理服务收费管理暂行办法&gt;的通知》（计价格〔2002〕1980号）和发改办价格〔2003〕857号以及发改价格〔2011〕534号文中规定的标准执行，按差额定率累进法收取费用，100万以下按1.5%收取。以预算金额400000.00元为基础计取代理服务费6000.00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和</w:t>
      </w:r>
      <w:r>
        <w:rPr>
          <w:rFonts w:ascii="仿宋_GB2312" w:hAnsi="仿宋_GB2312" w:cs="仿宋_GB2312" w:eastAsia="仿宋_GB2312"/>
        </w:rPr>
        <w:t>西安辰和工程咨询有限公司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西安辰和工程咨询有限公司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西安辰和工程咨询有限公司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由采购人组织或委托相关部门服务期间进行现场巡检、验收，并符合竞争性磋商文件及国家、省市及行业相关要求。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西安辰和工程咨询有限公司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联系人：齐莎莎</w:t>
      </w:r>
    </w:p>
    <w:p>
      <w:pPr>
        <w:pStyle w:val="null3"/>
      </w:pPr>
      <w:r>
        <w:rPr>
          <w:rFonts w:ascii="仿宋_GB2312" w:hAnsi="仿宋_GB2312" w:cs="仿宋_GB2312" w:eastAsia="仿宋_GB2312"/>
        </w:rPr>
        <w:t>联系电话：029-82286063</w:t>
      </w:r>
    </w:p>
    <w:p>
      <w:pPr>
        <w:pStyle w:val="null3"/>
      </w:pPr>
      <w:r>
        <w:rPr>
          <w:rFonts w:ascii="仿宋_GB2312" w:hAnsi="仿宋_GB2312" w:cs="仿宋_GB2312" w:eastAsia="仿宋_GB2312"/>
        </w:rPr>
        <w:t>地址：西安高新区锦业路59号高科智慧园B座四层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节假日及高新区承担的重大活动画面内容的制作，例如“元旦”、“春节”、“五一”、“十一”和省市要求的社会公益宣传活动等，内容要求积极健康、倡导正能量，展现节日主题和高新区特点。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楼宇媒体立面内容制作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标的名称：楼宇媒体立面内容制作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15" w:firstLine="572"/>
            </w:pPr>
            <w:r>
              <w:rPr>
                <w:rFonts w:ascii="仿宋_GB2312" w:hAnsi="仿宋_GB2312" w:cs="仿宋_GB2312" w:eastAsia="仿宋_GB2312"/>
                <w:sz w:val="28"/>
                <w:color w:val="000000"/>
              </w:rPr>
              <w:t>随着近几年高新区夜景亮化建设工作的不断推进，高新区重要路段上的若干重要节点楼宇均采用了媒体立面的表现方式，形成了比较好的亮化效果。为了能够更好的发挥媒体立面表现内容灵活多变的特点，结合节庆氛围营造、高新区重大活动、形象展示和公益宣传等实际需求，现计划采购楼宇媒体立面内容更新制作，具体要求如下：</w:t>
            </w:r>
          </w:p>
          <w:p>
            <w:pPr>
              <w:pStyle w:val="null3"/>
              <w:ind w:left="15" w:firstLine="574"/>
            </w:pPr>
            <w:r>
              <w:rPr>
                <w:rFonts w:ascii="仿宋_GB2312" w:hAnsi="仿宋_GB2312" w:cs="仿宋_GB2312" w:eastAsia="仿宋_GB2312"/>
                <w:sz w:val="28"/>
                <w:b/>
                <w:color w:val="000000"/>
              </w:rPr>
              <w:t>一、项目背景</w:t>
            </w:r>
          </w:p>
          <w:p>
            <w:pPr>
              <w:pStyle w:val="null3"/>
              <w:ind w:left="15" w:firstLine="572"/>
            </w:pPr>
            <w:r>
              <w:rPr>
                <w:rFonts w:ascii="仿宋_GB2312" w:hAnsi="仿宋_GB2312" w:cs="仿宋_GB2312" w:eastAsia="仿宋_GB2312"/>
                <w:sz w:val="28"/>
                <w:color w:val="000000"/>
              </w:rPr>
              <w:t>节假日及高新区承担的重大活动画面内容的制作，例如</w:t>
            </w:r>
            <w:r>
              <w:rPr>
                <w:rFonts w:ascii="仿宋_GB2312" w:hAnsi="仿宋_GB2312" w:cs="仿宋_GB2312" w:eastAsia="仿宋_GB2312"/>
                <w:sz w:val="28"/>
                <w:color w:val="000000"/>
              </w:rPr>
              <w:t>“元旦”、“春节”、“五一”、“十一”和省市要求的社会公益宣传活动等，内容要求积极健康、倡导正能量，展现节日主题和高新区特点。</w:t>
            </w:r>
          </w:p>
          <w:p>
            <w:pPr>
              <w:pStyle w:val="null3"/>
              <w:ind w:left="15" w:firstLine="574"/>
            </w:pPr>
            <w:r>
              <w:rPr>
                <w:rFonts w:ascii="仿宋_GB2312" w:hAnsi="仿宋_GB2312" w:cs="仿宋_GB2312" w:eastAsia="仿宋_GB2312"/>
                <w:sz w:val="28"/>
                <w:b/>
                <w:color w:val="000000"/>
              </w:rPr>
              <w:t>二、项目范围</w:t>
            </w:r>
          </w:p>
          <w:p>
            <w:pPr>
              <w:pStyle w:val="null3"/>
              <w:ind w:left="15" w:firstLine="572"/>
            </w:pPr>
            <w:r>
              <w:rPr>
                <w:rFonts w:ascii="仿宋_GB2312" w:hAnsi="仿宋_GB2312" w:cs="仿宋_GB2312" w:eastAsia="仿宋_GB2312"/>
                <w:sz w:val="28"/>
                <w:color w:val="000000"/>
              </w:rPr>
              <w:t>视频制作点位分为四个区域：第一区域为锦业路联动楼宇包含浦发银行</w:t>
            </w:r>
            <w:r>
              <w:rPr>
                <w:rFonts w:ascii="仿宋_GB2312" w:hAnsi="仿宋_GB2312" w:cs="仿宋_GB2312" w:eastAsia="仿宋_GB2312"/>
                <w:sz w:val="28"/>
                <w:color w:val="000000"/>
              </w:rPr>
              <w:t>3个立面、领海A座2个立面、领海B座2个立面、齐商A座2个立面、齐商B座2个立面、齐商C座2个立面、齐商D座2个立面、中铁中心2个立面、国瑞4个立面、卓越广场1个立面；第二区域为都市之门A座东立面隐形屏；第三区域为延平门周边联动楼宇包含旺座国际A座2个立面，旺座国际B座2个立面，旺座国际E座西立面，唐延国际2个立面，中国邮政大楼4个立面，杰座广场和机械臂大屏；第四区域为科技八路与唐延路联动楼宇万达4个立面、中国人寿2个立面、延长石油1个立面、火炬通风塔1个立面和媒体中心3号楼4个立面。</w:t>
            </w:r>
          </w:p>
          <w:p>
            <w:pPr>
              <w:pStyle w:val="null3"/>
              <w:ind w:left="15" w:firstLine="574"/>
            </w:pPr>
            <w:r>
              <w:rPr>
                <w:rFonts w:ascii="仿宋_GB2312" w:hAnsi="仿宋_GB2312" w:cs="仿宋_GB2312" w:eastAsia="仿宋_GB2312"/>
                <w:sz w:val="28"/>
                <w:b/>
                <w:color w:val="000000"/>
              </w:rPr>
              <w:t>三、制作内容分为两类</w:t>
            </w:r>
            <w:r>
              <w:rPr>
                <w:rFonts w:ascii="仿宋_GB2312" w:hAnsi="仿宋_GB2312" w:cs="仿宋_GB2312" w:eastAsia="仿宋_GB2312"/>
                <w:sz w:val="28"/>
                <w:color w:val="000000"/>
              </w:rPr>
              <w:t>：普通标语制作类、创意宣传动画或短视频制作。</w:t>
            </w:r>
          </w:p>
          <w:p>
            <w:pPr>
              <w:pStyle w:val="null3"/>
              <w:ind w:left="15" w:firstLine="574"/>
            </w:pPr>
            <w:r>
              <w:rPr>
                <w:rFonts w:ascii="仿宋_GB2312" w:hAnsi="仿宋_GB2312" w:cs="仿宋_GB2312" w:eastAsia="仿宋_GB2312"/>
                <w:sz w:val="28"/>
                <w:b/>
                <w:color w:val="000000"/>
              </w:rPr>
              <w:t>四、服务费用</w:t>
            </w:r>
          </w:p>
          <w:p>
            <w:pPr>
              <w:pStyle w:val="null3"/>
              <w:ind w:left="15" w:firstLine="572"/>
            </w:pPr>
            <w:r>
              <w:rPr>
                <w:rFonts w:ascii="仿宋_GB2312" w:hAnsi="仿宋_GB2312" w:cs="仿宋_GB2312" w:eastAsia="仿宋_GB2312"/>
                <w:sz w:val="28"/>
                <w:color w:val="000000"/>
              </w:rPr>
              <w:t>1、根据宣传工作任务要求，按宣传区域和制作内容的类型分别定价。画面制作的尺寸规格及参数要求以采购清单为准。</w:t>
            </w:r>
          </w:p>
          <w:tbl>
            <w:tblPr>
              <w:tblBorders>
                <w:top w:val="none" w:color="000000" w:sz="4"/>
                <w:left w:val="none" w:color="000000" w:sz="4"/>
                <w:bottom w:val="none" w:color="000000" w:sz="4"/>
                <w:right w:val="none" w:color="000000" w:sz="4"/>
                <w:insideH w:val="none"/>
                <w:insideV w:val="none"/>
              </w:tblBorders>
            </w:tblPr>
            <w:tblGrid>
              <w:gridCol w:w="255"/>
              <w:gridCol w:w="419"/>
              <w:gridCol w:w="1097"/>
              <w:gridCol w:w="524"/>
              <w:gridCol w:w="256"/>
            </w:tblGrid>
            <w:tr>
              <w:tc>
                <w:tcPr>
                  <w:tcW w:type="dxa" w:w="2551"/>
                  <w:gridSpan w:val="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媒体立面详单</w:t>
                  </w:r>
                </w:p>
              </w:tc>
            </w:tr>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区域</w:t>
                  </w:r>
                </w:p>
              </w:tc>
              <w:tc>
                <w:tcPr>
                  <w:tcW w:type="dxa" w:w="1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楼宇名称</w:t>
                  </w:r>
                </w:p>
              </w:tc>
              <w:tc>
                <w:tcPr>
                  <w:tcW w:type="dxa" w:w="5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分辨率</w:t>
                  </w:r>
                  <w:r>
                    <w:rPr>
                      <w:rFonts w:ascii="仿宋_GB2312" w:hAnsi="仿宋_GB2312" w:cs="仿宋_GB2312" w:eastAsia="仿宋_GB2312"/>
                      <w:sz w:val="24"/>
                      <w:color w:val="000000"/>
                    </w:rPr>
                    <w:t>/尺寸</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第一区域</w:t>
                  </w:r>
                </w:p>
                <w:p>
                  <w:pPr>
                    <w:pStyle w:val="null3"/>
                    <w:jc w:val="center"/>
                  </w:pPr>
                  <w:r>
                    <w:rPr>
                      <w:rFonts w:ascii="仿宋_GB2312" w:hAnsi="仿宋_GB2312" w:cs="仿宋_GB2312" w:eastAsia="仿宋_GB2312"/>
                      <w:sz w:val="24"/>
                      <w:color w:val="000000"/>
                    </w:rPr>
                    <w:t>（都市之门）</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中铁西安中心东立面</w:t>
                  </w:r>
                  <w:r>
                    <w:rPr>
                      <w:rFonts w:ascii="仿宋_GB2312" w:hAnsi="仿宋_GB2312" w:cs="仿宋_GB2312" w:eastAsia="仿宋_GB2312"/>
                      <w:sz w:val="24"/>
                      <w:color w:val="000000"/>
                    </w:rPr>
                    <w:t>/西立面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96*690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浦发东立面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560*1080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浦发北立面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560*1080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浦发西立面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560*1080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绿地领海</w:t>
                  </w:r>
                  <w:r>
                    <w:rPr>
                      <w:rFonts w:ascii="仿宋_GB2312" w:hAnsi="仿宋_GB2312" w:cs="仿宋_GB2312" w:eastAsia="仿宋_GB2312"/>
                      <w:sz w:val="24"/>
                      <w:color w:val="000000"/>
                    </w:rPr>
                    <w:t>A东立面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696*1080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绿地领海</w:t>
                  </w:r>
                  <w:r>
                    <w:rPr>
                      <w:rFonts w:ascii="仿宋_GB2312" w:hAnsi="仿宋_GB2312" w:cs="仿宋_GB2312" w:eastAsia="仿宋_GB2312"/>
                      <w:sz w:val="24"/>
                      <w:color w:val="000000"/>
                    </w:rPr>
                    <w:t>A北立面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696*1080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绿地领海</w:t>
                  </w:r>
                  <w:r>
                    <w:rPr>
                      <w:rFonts w:ascii="仿宋_GB2312" w:hAnsi="仿宋_GB2312" w:cs="仿宋_GB2312" w:eastAsia="仿宋_GB2312"/>
                      <w:sz w:val="24"/>
                      <w:color w:val="000000"/>
                    </w:rPr>
                    <w:t>B北立面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704*1080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绿地领海</w:t>
                  </w:r>
                  <w:r>
                    <w:rPr>
                      <w:rFonts w:ascii="仿宋_GB2312" w:hAnsi="仿宋_GB2312" w:cs="仿宋_GB2312" w:eastAsia="仿宋_GB2312"/>
                      <w:sz w:val="24"/>
                      <w:color w:val="000000"/>
                    </w:rPr>
                    <w:t>B西立面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704*1080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齐商银行</w:t>
                  </w:r>
                  <w:r>
                    <w:rPr>
                      <w:rFonts w:ascii="仿宋_GB2312" w:hAnsi="仿宋_GB2312" w:cs="仿宋_GB2312" w:eastAsia="仿宋_GB2312"/>
                      <w:sz w:val="24"/>
                      <w:color w:val="000000"/>
                    </w:rPr>
                    <w:t>A东立面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560*1080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齐商银行</w:t>
                  </w:r>
                  <w:r>
                    <w:rPr>
                      <w:rFonts w:ascii="仿宋_GB2312" w:hAnsi="仿宋_GB2312" w:cs="仿宋_GB2312" w:eastAsia="仿宋_GB2312"/>
                      <w:sz w:val="24"/>
                      <w:color w:val="000000"/>
                    </w:rPr>
                    <w:t>A南立面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560*1080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齐商银行</w:t>
                  </w:r>
                  <w:r>
                    <w:rPr>
                      <w:rFonts w:ascii="仿宋_GB2312" w:hAnsi="仿宋_GB2312" w:cs="仿宋_GB2312" w:eastAsia="仿宋_GB2312"/>
                      <w:sz w:val="24"/>
                      <w:color w:val="000000"/>
                    </w:rPr>
                    <w:t>B南立面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560*1080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齐商银行</w:t>
                  </w:r>
                  <w:r>
                    <w:rPr>
                      <w:rFonts w:ascii="仿宋_GB2312" w:hAnsi="仿宋_GB2312" w:cs="仿宋_GB2312" w:eastAsia="仿宋_GB2312"/>
                      <w:sz w:val="24"/>
                      <w:color w:val="000000"/>
                    </w:rPr>
                    <w:t>B西立面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560*1080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齐商银行</w:t>
                  </w:r>
                  <w:r>
                    <w:rPr>
                      <w:rFonts w:ascii="仿宋_GB2312" w:hAnsi="仿宋_GB2312" w:cs="仿宋_GB2312" w:eastAsia="仿宋_GB2312"/>
                      <w:sz w:val="24"/>
                      <w:color w:val="000000"/>
                    </w:rPr>
                    <w:t>C东立面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560*1080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齐商银行</w:t>
                  </w:r>
                  <w:r>
                    <w:rPr>
                      <w:rFonts w:ascii="仿宋_GB2312" w:hAnsi="仿宋_GB2312" w:cs="仿宋_GB2312" w:eastAsia="仿宋_GB2312"/>
                      <w:sz w:val="24"/>
                      <w:color w:val="000000"/>
                    </w:rPr>
                    <w:t>C南立面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560*1080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齐商银行</w:t>
                  </w:r>
                  <w:r>
                    <w:rPr>
                      <w:rFonts w:ascii="仿宋_GB2312" w:hAnsi="仿宋_GB2312" w:cs="仿宋_GB2312" w:eastAsia="仿宋_GB2312"/>
                      <w:sz w:val="24"/>
                      <w:color w:val="000000"/>
                    </w:rPr>
                    <w:t>D南立面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560*1080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齐商银行</w:t>
                  </w:r>
                  <w:r>
                    <w:rPr>
                      <w:rFonts w:ascii="仿宋_GB2312" w:hAnsi="仿宋_GB2312" w:cs="仿宋_GB2312" w:eastAsia="仿宋_GB2312"/>
                      <w:sz w:val="24"/>
                      <w:color w:val="000000"/>
                    </w:rPr>
                    <w:t>D西立面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560*1080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国瑞东立面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536*766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国瑞北立面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536*766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国瑞西立面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536*766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国瑞南立面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536*766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卓越广场北立面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656*488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卓越广场西立面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656*488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第二区域</w:t>
                  </w:r>
                </w:p>
                <w:p>
                  <w:pPr>
                    <w:pStyle w:val="null3"/>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A</w:t>
                  </w:r>
                  <w:r>
                    <w:rPr>
                      <w:rFonts w:ascii="仿宋_GB2312" w:hAnsi="仿宋_GB2312" w:cs="仿宋_GB2312" w:eastAsia="仿宋_GB2312"/>
                      <w:sz w:val="24"/>
                      <w:color w:val="000000"/>
                    </w:rPr>
                    <w:t>座东立面）</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都市之门</w:t>
                  </w:r>
                  <w:r>
                    <w:rPr>
                      <w:rFonts w:ascii="仿宋_GB2312" w:hAnsi="仿宋_GB2312" w:cs="仿宋_GB2312" w:eastAsia="仿宋_GB2312"/>
                      <w:sz w:val="24"/>
                      <w:color w:val="000000"/>
                    </w:rPr>
                    <w:t>A座东立面大屏</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10.05*74.5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第三区域</w:t>
                  </w:r>
                </w:p>
                <w:p>
                  <w:pPr>
                    <w:pStyle w:val="null3"/>
                    <w:jc w:val="center"/>
                  </w:pPr>
                  <w:r>
                    <w:rPr>
                      <w:rFonts w:ascii="仿宋_GB2312" w:hAnsi="仿宋_GB2312" w:cs="仿宋_GB2312" w:eastAsia="仿宋_GB2312"/>
                      <w:sz w:val="24"/>
                      <w:color w:val="000000"/>
                    </w:rPr>
                    <w:t>（延平门）</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机械臂大屏</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杰座大厦东立面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55.2*88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旺座</w:t>
                  </w:r>
                  <w:r>
                    <w:rPr>
                      <w:rFonts w:ascii="仿宋_GB2312" w:hAnsi="仿宋_GB2312" w:cs="仿宋_GB2312" w:eastAsia="仿宋_GB2312"/>
                      <w:sz w:val="24"/>
                      <w:color w:val="000000"/>
                    </w:rPr>
                    <w:t>A北立面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100*247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旺座</w:t>
                  </w:r>
                  <w:r>
                    <w:rPr>
                      <w:rFonts w:ascii="仿宋_GB2312" w:hAnsi="仿宋_GB2312" w:cs="仿宋_GB2312" w:eastAsia="仿宋_GB2312"/>
                      <w:sz w:val="24"/>
                      <w:color w:val="000000"/>
                    </w:rPr>
                    <w:t>A西立面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100*247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旺座</w:t>
                  </w:r>
                  <w:r>
                    <w:rPr>
                      <w:rFonts w:ascii="仿宋_GB2312" w:hAnsi="仿宋_GB2312" w:cs="仿宋_GB2312" w:eastAsia="仿宋_GB2312"/>
                      <w:sz w:val="24"/>
                      <w:color w:val="000000"/>
                    </w:rPr>
                    <w:t>B北立面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100*247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旺座</w:t>
                  </w:r>
                  <w:r>
                    <w:rPr>
                      <w:rFonts w:ascii="仿宋_GB2312" w:hAnsi="仿宋_GB2312" w:cs="仿宋_GB2312" w:eastAsia="仿宋_GB2312"/>
                      <w:sz w:val="24"/>
                      <w:color w:val="000000"/>
                    </w:rPr>
                    <w:t>B西立面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100*247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旺座</w:t>
                  </w:r>
                  <w:r>
                    <w:rPr>
                      <w:rFonts w:ascii="仿宋_GB2312" w:hAnsi="仿宋_GB2312" w:cs="仿宋_GB2312" w:eastAsia="仿宋_GB2312"/>
                      <w:sz w:val="24"/>
                      <w:color w:val="000000"/>
                    </w:rPr>
                    <w:t>E西立面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100*247</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唐延国际北立面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192*199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唐延国际西立面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80*199</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中国邮政北立面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95*250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中国邮政西立面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95*250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中国邮政西南立面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33*250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中国邮政南立面</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95*250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第四区域</w:t>
                  </w:r>
                </w:p>
                <w:p>
                  <w:pPr>
                    <w:pStyle w:val="null3"/>
                    <w:jc w:val="center"/>
                  </w:pPr>
                  <w:r>
                    <w:rPr>
                      <w:rFonts w:ascii="仿宋_GB2312" w:hAnsi="仿宋_GB2312" w:cs="仿宋_GB2312" w:eastAsia="仿宋_GB2312"/>
                      <w:sz w:val="24"/>
                      <w:color w:val="000000"/>
                    </w:rPr>
                    <w:t>（延长石油）</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体育之窗</w:t>
                  </w:r>
                  <w:r>
                    <w:rPr>
                      <w:rFonts w:ascii="仿宋_GB2312" w:hAnsi="仿宋_GB2312" w:cs="仿宋_GB2312" w:eastAsia="仿宋_GB2312"/>
                      <w:sz w:val="24"/>
                      <w:color w:val="000000"/>
                    </w:rPr>
                    <w:t>3号楼</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1708*490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体育之窗</w:t>
                  </w:r>
                  <w:r>
                    <w:rPr>
                      <w:rFonts w:ascii="仿宋_GB2312" w:hAnsi="仿宋_GB2312" w:cs="仿宋_GB2312" w:eastAsia="仿宋_GB2312"/>
                      <w:sz w:val="24"/>
                      <w:color w:val="000000"/>
                    </w:rPr>
                    <w:t>1号楼</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750*575</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风塔</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48*260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延长石油</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1064*914</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中国人寿</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1890*960</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万达一号楼</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430*146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万达二号楼</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536*108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万达三号楼</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450*156</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419"/>
                  <w:vMerge/>
                  <w:tcBorders>
                    <w:top w:val="none" w:color="000000" w:sz="4"/>
                    <w:left w:val="none" w:color="000000" w:sz="4"/>
                    <w:bottom w:val="single" w:color="000000" w:sz="4"/>
                    <w:right w:val="single" w:color="000000" w:sz="4"/>
                  </w:tcBorders>
                </w:tcP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万达旧灯</w:t>
                  </w:r>
                </w:p>
              </w:tc>
              <w:tc>
                <w:tcPr>
                  <w:tcW w:type="dxa" w:w="5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1420*138</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8"/>
                <w:b/>
                <w:color w:val="000000"/>
              </w:rPr>
              <w:t>五、报价要求</w:t>
            </w:r>
          </w:p>
          <w:p>
            <w:pPr>
              <w:pStyle w:val="null3"/>
              <w:ind w:left="15" w:firstLine="572"/>
            </w:pPr>
            <w:r>
              <w:rPr>
                <w:rFonts w:ascii="仿宋_GB2312" w:hAnsi="仿宋_GB2312" w:cs="仿宋_GB2312" w:eastAsia="仿宋_GB2312"/>
                <w:sz w:val="28"/>
                <w:color w:val="000000"/>
              </w:rPr>
              <w:t>（一）媒体立面内容制作：该部分报价为全费用综合单价。</w:t>
            </w:r>
          </w:p>
          <w:p>
            <w:pPr>
              <w:pStyle w:val="null3"/>
              <w:ind w:left="15" w:firstLine="572"/>
            </w:pPr>
            <w:r>
              <w:rPr>
                <w:rFonts w:ascii="仿宋_GB2312" w:hAnsi="仿宋_GB2312" w:cs="仿宋_GB2312" w:eastAsia="仿宋_GB2312"/>
                <w:sz w:val="28"/>
                <w:color w:val="000000"/>
              </w:rPr>
              <w:t>（二）结算依据：</w:t>
            </w:r>
          </w:p>
          <w:p>
            <w:pPr>
              <w:pStyle w:val="null3"/>
              <w:ind w:left="15" w:firstLine="572"/>
            </w:pPr>
            <w:r>
              <w:rPr>
                <w:rFonts w:ascii="仿宋_GB2312" w:hAnsi="仿宋_GB2312" w:cs="仿宋_GB2312" w:eastAsia="仿宋_GB2312"/>
                <w:sz w:val="28"/>
                <w:color w:val="000000"/>
              </w:rPr>
              <w:t>第一次支付：供应商完成节日楼宇画面更换工作量</w:t>
            </w:r>
            <w:r>
              <w:rPr>
                <w:rFonts w:ascii="仿宋_GB2312" w:hAnsi="仿宋_GB2312" w:cs="仿宋_GB2312" w:eastAsia="仿宋_GB2312"/>
                <w:sz w:val="28"/>
                <w:color w:val="000000"/>
              </w:rPr>
              <w:t>50%，并由采购人确认合格后，供应商可按约定成交全费用综合单价根据实际完成工作量向采购人申请支付第一次费用。</w:t>
            </w:r>
          </w:p>
          <w:p>
            <w:pPr>
              <w:pStyle w:val="null3"/>
              <w:ind w:left="15" w:firstLine="572"/>
            </w:pPr>
            <w:r>
              <w:rPr>
                <w:rFonts w:ascii="仿宋_GB2312" w:hAnsi="仿宋_GB2312" w:cs="仿宋_GB2312" w:eastAsia="仿宋_GB2312"/>
                <w:sz w:val="28"/>
                <w:color w:val="000000"/>
              </w:rPr>
              <w:t>第二次支付：供应商完成节日楼宇画面更换所有工作量，并由采购人确认合格后，供应商可按约定成交全费用综合单价根据实际完成工作量向采购人申请支付结算剩余费用，当结算金额高于</w:t>
            </w:r>
            <w:r>
              <w:rPr>
                <w:rFonts w:ascii="仿宋_GB2312" w:hAnsi="仿宋_GB2312" w:cs="仿宋_GB2312" w:eastAsia="仿宋_GB2312"/>
                <w:sz w:val="28"/>
                <w:color w:val="000000"/>
              </w:rPr>
              <w:t>40万元时，合同自动终止。</w:t>
            </w:r>
          </w:p>
          <w:p>
            <w:pPr>
              <w:pStyle w:val="null3"/>
              <w:spacing w:after="120"/>
              <w:jc w:val="center"/>
            </w:pPr>
            <w:r>
              <w:rPr>
                <w:rFonts w:ascii="仿宋_GB2312" w:hAnsi="仿宋_GB2312" w:cs="仿宋_GB2312" w:eastAsia="仿宋_GB2312"/>
                <w:sz w:val="28"/>
                <w:b/>
                <w:color w:val="000000"/>
              </w:rPr>
              <w:t>楼宇媒体立面内容更新画面制作</w:t>
            </w:r>
          </w:p>
          <w:tbl>
            <w:tblPr>
              <w:tblBorders>
                <w:top w:val="none" w:color="000000" w:sz="4"/>
                <w:left w:val="none" w:color="000000" w:sz="4"/>
                <w:bottom w:val="none" w:color="000000" w:sz="4"/>
                <w:right w:val="none" w:color="000000" w:sz="4"/>
                <w:insideH w:val="none"/>
                <w:insideV w:val="none"/>
              </w:tblBorders>
            </w:tblPr>
            <w:tblGrid>
              <w:gridCol w:w="326"/>
              <w:gridCol w:w="100"/>
              <w:gridCol w:w="105"/>
              <w:gridCol w:w="100"/>
              <w:gridCol w:w="100"/>
              <w:gridCol w:w="110"/>
              <w:gridCol w:w="90"/>
              <w:gridCol w:w="100"/>
              <w:gridCol w:w="120"/>
              <w:gridCol w:w="120"/>
              <w:gridCol w:w="135"/>
              <w:gridCol w:w="230"/>
              <w:gridCol w:w="110"/>
              <w:gridCol w:w="125"/>
              <w:gridCol w:w="115"/>
              <w:gridCol w:w="143"/>
              <w:gridCol w:w="220"/>
              <w:gridCol w:w="146"/>
            </w:tblGrid>
            <w:tr>
              <w:tc>
                <w:tcPr>
                  <w:tcW w:type="dxa" w:w="32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区域</w:t>
                  </w:r>
                </w:p>
              </w:tc>
              <w:tc>
                <w:tcPr>
                  <w:tcW w:type="dxa" w:w="1310"/>
                  <w:gridSpan w:val="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节日创意类节目拟制作</w:t>
                  </w:r>
                </w:p>
              </w:tc>
              <w:tc>
                <w:tcPr>
                  <w:tcW w:type="dxa" w:w="713"/>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标语拟制作</w:t>
                  </w:r>
                </w:p>
              </w:tc>
              <w:tc>
                <w:tcPr>
                  <w:tcW w:type="dxa" w:w="14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326"/>
                  <w:vMerge/>
                  <w:tcBorders>
                    <w:top w:val="single" w:color="000000" w:sz="4"/>
                    <w:left w:val="single" w:color="000000" w:sz="4"/>
                    <w:bottom w:val="single" w:color="000000" w:sz="4"/>
                    <w:right w:val="single" w:color="000000" w:sz="4"/>
                  </w:tcBorders>
                </w:tc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元旦</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春节</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五一</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七一</w:t>
                  </w:r>
                </w:p>
              </w:tc>
              <w:tc>
                <w:tcPr>
                  <w:tcW w:type="dxa" w:w="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国庆</w:t>
                  </w:r>
                </w:p>
              </w:tc>
              <w:tc>
                <w:tcPr>
                  <w:tcW w:type="dxa" w:w="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中秋</w:t>
                  </w:r>
                </w:p>
              </w:tc>
              <w:tc>
                <w:tcPr>
                  <w:tcW w:type="dxa" w:w="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创投峰会</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程序员节</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预留次数</w:t>
                  </w:r>
                </w:p>
              </w:tc>
              <w:tc>
                <w:tcPr>
                  <w:tcW w:type="dxa" w:w="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拟制作次数合计</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单价限价</w:t>
                  </w:r>
                </w:p>
              </w:tc>
              <w:tc>
                <w:tcPr>
                  <w:tcW w:type="dxa" w:w="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上半年</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下半年</w:t>
                  </w:r>
                </w:p>
              </w:tc>
              <w:tc>
                <w:tcPr>
                  <w:tcW w:type="dxa" w:w="1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预留次数</w:t>
                  </w:r>
                </w:p>
              </w:tc>
              <w:tc>
                <w:tcPr>
                  <w:tcW w:type="dxa" w:w="1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拟制作次数合计</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单价限价</w:t>
                  </w:r>
                </w:p>
              </w:tc>
              <w:tc>
                <w:tcPr>
                  <w:tcW w:type="dxa" w:w="146"/>
                  <w:vMerge/>
                  <w:tcBorders>
                    <w:top w:val="single" w:color="000000" w:sz="4"/>
                    <w:left w:val="none" w:color="000000" w:sz="4"/>
                    <w:bottom w:val="single" w:color="000000" w:sz="4"/>
                    <w:right w:val="single" w:color="000000" w:sz="4"/>
                  </w:tcBorders>
                </w:tc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第一区域（都市之门）</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12000</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第二区域（</w:t>
                  </w:r>
                  <w:r>
                    <w:rPr>
                      <w:rFonts w:ascii="仿宋_GB2312" w:hAnsi="仿宋_GB2312" w:cs="仿宋_GB2312" w:eastAsia="仿宋_GB2312"/>
                      <w:sz w:val="24"/>
                      <w:color w:val="000000"/>
                    </w:rPr>
                    <w:t>A座东立面）</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10000</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6300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第三区域（延平门）</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12000</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第四区域（延长石油）</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12000</w:t>
                  </w:r>
                </w:p>
              </w:tc>
              <w:tc>
                <w:tcPr>
                  <w:tcW w:type="dxa" w:w="1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6500</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8"/>
                <w:b/>
                <w:color w:val="000000"/>
              </w:rPr>
              <w:t>楼宇媒体立面内容更新视频动画制作</w:t>
            </w:r>
          </w:p>
          <w:tbl>
            <w:tblPr>
              <w:tblBorders>
                <w:top w:val="none" w:color="000000" w:sz="4"/>
                <w:left w:val="none" w:color="000000" w:sz="4"/>
                <w:bottom w:val="none" w:color="000000" w:sz="4"/>
                <w:right w:val="none" w:color="000000" w:sz="4"/>
                <w:insideH w:val="none"/>
                <w:insideV w:val="none"/>
              </w:tblBorders>
            </w:tblPr>
            <w:tblGrid>
              <w:gridCol w:w="405"/>
              <w:gridCol w:w="1636"/>
              <w:gridCol w:w="511"/>
            </w:tblGrid>
            <w:tr>
              <w:tc>
                <w:tcPr>
                  <w:tcW w:type="dxa" w:w="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240"/>
                    <w:jc w:val="both"/>
                  </w:pPr>
                  <w:r>
                    <w:rPr>
                      <w:rFonts w:ascii="仿宋_GB2312" w:hAnsi="仿宋_GB2312" w:cs="仿宋_GB2312" w:eastAsia="仿宋_GB2312"/>
                      <w:sz w:val="24"/>
                      <w:color w:val="000000"/>
                    </w:rPr>
                    <w:t>名称</w:t>
                  </w:r>
                </w:p>
              </w:tc>
              <w:tc>
                <w:tcPr>
                  <w:tcW w:type="dxa" w:w="1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center"/>
                  </w:pPr>
                  <w:r>
                    <w:rPr>
                      <w:rFonts w:ascii="仿宋_GB2312" w:hAnsi="仿宋_GB2312" w:cs="仿宋_GB2312" w:eastAsia="仿宋_GB2312"/>
                      <w:sz w:val="24"/>
                      <w:color w:val="000000"/>
                    </w:rPr>
                    <w:t>内容</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color w:val="000000"/>
                    </w:rPr>
                    <w:t>元</w:t>
                  </w:r>
                  <w:r>
                    <w:rPr>
                      <w:rFonts w:ascii="仿宋_GB2312" w:hAnsi="仿宋_GB2312" w:cs="仿宋_GB2312" w:eastAsia="仿宋_GB2312"/>
                      <w:sz w:val="24"/>
                      <w:color w:val="000000"/>
                    </w:rPr>
                    <w:t>/秒</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第一区域（都市之门）</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color w:val="000000"/>
                    </w:rPr>
                    <w:t>中铁西安中心东立面</w:t>
                  </w:r>
                  <w:r>
                    <w:rPr>
                      <w:rFonts w:ascii="仿宋_GB2312" w:hAnsi="仿宋_GB2312" w:cs="仿宋_GB2312" w:eastAsia="仿宋_GB2312"/>
                      <w:sz w:val="24"/>
                      <w:color w:val="000000"/>
                    </w:rPr>
                    <w:t>/西立面、浦东东立面、浦东北立面、浦东西立面、绿地领海A东立面、绿地领海A北立面、绿地领海B北立面、绿地领海B西立面、齐商银行A东立面、齐商银行A南立面、齐商银行B南立面、齐商银行B西立面、齐商银行C东立面、齐商银行C南立面、齐商银行D南立面、齐商银行D西立面</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color w:val="000000"/>
                    </w:rPr>
                    <w:t>1400</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第二区域（</w:t>
                  </w:r>
                  <w:r>
                    <w:rPr>
                      <w:rFonts w:ascii="仿宋_GB2312" w:hAnsi="仿宋_GB2312" w:cs="仿宋_GB2312" w:eastAsia="仿宋_GB2312"/>
                      <w:sz w:val="24"/>
                      <w:color w:val="000000"/>
                    </w:rPr>
                    <w:t>A座东立面）</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color w:val="000000"/>
                    </w:rPr>
                    <w:t>都市之门</w:t>
                  </w:r>
                  <w:r>
                    <w:rPr>
                      <w:rFonts w:ascii="仿宋_GB2312" w:hAnsi="仿宋_GB2312" w:cs="仿宋_GB2312" w:eastAsia="仿宋_GB2312"/>
                      <w:sz w:val="24"/>
                      <w:color w:val="000000"/>
                    </w:rPr>
                    <w:t>A座东立面大屏</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color w:val="000000"/>
                    </w:rPr>
                    <w:t>500</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pPr>
                  <w:r>
                    <w:rPr>
                      <w:rFonts w:ascii="仿宋_GB2312" w:hAnsi="仿宋_GB2312" w:cs="仿宋_GB2312" w:eastAsia="仿宋_GB2312"/>
                      <w:sz w:val="24"/>
                      <w:color w:val="000000"/>
                    </w:rPr>
                    <w:t>第三区域（延平门）</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color w:val="000000"/>
                    </w:rPr>
                    <w:t>机械臂大屏、杰座大厦东立面、旺座</w:t>
                  </w:r>
                  <w:r>
                    <w:rPr>
                      <w:rFonts w:ascii="仿宋_GB2312" w:hAnsi="仿宋_GB2312" w:cs="仿宋_GB2312" w:eastAsia="仿宋_GB2312"/>
                      <w:sz w:val="24"/>
                      <w:color w:val="000000"/>
                    </w:rPr>
                    <w:t>A北立面、旺座A西立面、旺座B北立面、旺座B西立面、旺座E西立面、唐延国际北立面、中国邮政北立面、中国邮政西立面、中国邮政西南立面、中国邮政南立面</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color w:val="000000"/>
                    </w:rPr>
                    <w:t>750</w:t>
                  </w:r>
                </w:p>
              </w:tc>
            </w:tr>
            <w:tr>
              <w:tc>
                <w:tcPr>
                  <w:tcW w:type="dxa" w:w="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pPr>
                  <w:r>
                    <w:rPr>
                      <w:rFonts w:ascii="仿宋_GB2312" w:hAnsi="仿宋_GB2312" w:cs="仿宋_GB2312" w:eastAsia="仿宋_GB2312"/>
                      <w:sz w:val="24"/>
                      <w:color w:val="000000"/>
                    </w:rPr>
                    <w:t>第四区域（延长石油）</w:t>
                  </w:r>
                </w:p>
              </w:tc>
              <w:tc>
                <w:tcPr>
                  <w:tcW w:type="dxa" w:w="1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color w:val="000000"/>
                    </w:rPr>
                    <w:t>延长石油、媒体中心三号楼、媒体中心一号楼、万达一号楼新灯、万达二号楼新灯、万达三号楼新灯、中国人寿、风塔整体、万达旧灯</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80"/>
                    <w:jc w:val="both"/>
                  </w:pPr>
                  <w:r>
                    <w:rPr>
                      <w:rFonts w:ascii="仿宋_GB2312" w:hAnsi="仿宋_GB2312" w:cs="仿宋_GB2312" w:eastAsia="仿宋_GB2312"/>
                      <w:sz w:val="24"/>
                      <w:color w:val="000000"/>
                    </w:rPr>
                    <w:t>750</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根据实际工作情况投入人员，确保项目顺利实施。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根据实际工作情况投入设施设备，确保项目顺利实施。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1、验收标准：由采购人组织或委托相关部门服务期间进行现场巡检、验收，并符合竞争性磋商文件及国家、省市及行业相关要求。 2、验收依据：合同文本、竞争性磋商文件和竞争性磋商响应文件。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供应商完成节日楼宇画面更换工作量50%，并由采购人确认合格后，供应商可按约定成交全费用综合单价根据实际完成工作量向采购人申请支付第一次费用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供应商完成节日楼宇画面更换所有工作量，并由采购人确认合格后，供应商可按约定成交全费用综合单价根据实际完成工作量向采购人申请支付结算剩余费用，当结算金额高于40万元时，合同自动终止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一）若一方不能履行合同义务，出现重大违约，则另一方可以书面通知方式要求对方在规定时间内整改，若对方对整改问题不予执行或执行不合格，则另一方可单方面终止本合同，并可要求赔偿损失。 （二）除上述规定之情形外，提供服务过程中如果没有对方的书面同意，一方不能提前解除合同。 （三）如因供应商没有履行本合同相关义务以及条款对采购人造成损失的由供应商负全部责任。 （四）合同一方违约的，对方应积极采取适当措施阻止损失扩大，否则不得就扩大部分的损失要求赔偿；违约方应当承担守约方为阻止损失扩大而支付的合理费用。 解决争议的方法：双方本着友好合作的态度,对合同履行过程中发生的纠纷应及时协商解决，协商不成的，向采购人所在地有管辖权的人民法院诉讼解决。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磋商报价为完成本项目磋商文件中所提出的工作范围及要求的全部内容，并达到国家及采购人验收标准而产生的所有费用，包括但不限于人工费、设计费、策划费、材料费、管理费、招标代理服务费、税金、风险等所需的全部费用。不因项目规模、政策调整和服务期限调整等因素增减。任何错报、漏报由供应商自行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服务的企业法人、其他组织或者自然人,企业法人应提供统一社会信用代码的营业执照；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磋商只需提供法定代表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产品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报价一览表及分项报价表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响应文件按照规定格式签字 盖章。</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响应文件封面 资格证明文件 响应方案说明 残疾人福利性单位声明函 标的清单 响应函 业绩证明文件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磋商响应有效期达到磋商文件的要求。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供应商针对同一服务未递交两份或多份内容不同的响应文件，未出现选择性报价。</w:t>
            </w:r>
          </w:p>
        </w:tc>
        <w:tc>
          <w:tcPr>
            <w:tcW w:type="dxa" w:w="1661"/>
          </w:tcPr>
          <w:p>
            <w:pPr>
              <w:pStyle w:val="null3"/>
            </w:pPr>
            <w:r>
              <w:rPr>
                <w:rFonts w:ascii="仿宋_GB2312" w:hAnsi="仿宋_GB2312" w:cs="仿宋_GB2312" w:eastAsia="仿宋_GB2312"/>
              </w:rPr>
              <w:t>报价一览表及分项报价表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响应文件未附有采购人不能接受的条件</w:t>
            </w:r>
          </w:p>
        </w:tc>
        <w:tc>
          <w:tcPr>
            <w:tcW w:type="dxa" w:w="3322"/>
          </w:tcPr>
          <w:p>
            <w:pPr>
              <w:pStyle w:val="null3"/>
            </w:pPr>
            <w:r>
              <w:rPr>
                <w:rFonts w:ascii="仿宋_GB2312" w:hAnsi="仿宋_GB2312" w:cs="仿宋_GB2312" w:eastAsia="仿宋_GB2312"/>
              </w:rPr>
              <w:t>响应文件未附有采购人不能接受的条件。</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响应文件封面 资格证明文件 响应方案说明 残疾人福利性单位声明函 标的清单 响应函 业绩证明文件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符合磋商文件规定的其他实质性要求</w:t>
            </w:r>
          </w:p>
        </w:tc>
        <w:tc>
          <w:tcPr>
            <w:tcW w:type="dxa" w:w="3322"/>
          </w:tcPr>
          <w:p>
            <w:pPr>
              <w:pStyle w:val="null3"/>
            </w:pPr>
            <w:r>
              <w:rPr>
                <w:rFonts w:ascii="仿宋_GB2312" w:hAnsi="仿宋_GB2312" w:cs="仿宋_GB2312" w:eastAsia="仿宋_GB2312"/>
              </w:rPr>
              <w:t>符合磋商文件规定的其他实质性要求。</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响应文件封面 资格证明文件 响应方案说明 残疾人福利性单位声明函 标的清单 响应函 业绩证明文件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符合《中华人民共和国政府采购法》有关规定和磋商纪律</w:t>
            </w:r>
          </w:p>
        </w:tc>
        <w:tc>
          <w:tcPr>
            <w:tcW w:type="dxa" w:w="3322"/>
          </w:tcPr>
          <w:p>
            <w:pPr>
              <w:pStyle w:val="null3"/>
            </w:pPr>
            <w:r>
              <w:rPr>
                <w:rFonts w:ascii="仿宋_GB2312" w:hAnsi="仿宋_GB2312" w:cs="仿宋_GB2312" w:eastAsia="仿宋_GB2312"/>
              </w:rPr>
              <w:t>符合《中华人民共和国政府采购法》有关规定和磋商纪律。</w:t>
            </w:r>
          </w:p>
        </w:tc>
        <w:tc>
          <w:tcPr>
            <w:tcW w:type="dxa" w:w="1661"/>
          </w:tcPr>
          <w:p>
            <w:pPr>
              <w:pStyle w:val="null3"/>
            </w:pPr>
            <w:r>
              <w:rPr>
                <w:rFonts w:ascii="仿宋_GB2312" w:hAnsi="仿宋_GB2312" w:cs="仿宋_GB2312" w:eastAsia="仿宋_GB2312"/>
              </w:rPr>
              <w:t>服务内容及服务邀请应答表 报价一览表及分项报价表 中小企业声明函 商务应答表 承诺书 报价表 响应文件封面 资格证明文件 响应方案说明 残疾人福利性单位声明函 标的清单 响应函 业绩证明文件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提供2022年以来类似项目业绩合同（以合同签订时间为准），每份计2.5分，满分10分。（注：以上证明文件在磋商响应文件中附业绩合同扫描件并加盖公司公章。）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w:t>
            </w:r>
          </w:p>
        </w:tc>
      </w:tr>
      <w:tr>
        <w:tc>
          <w:tcPr>
            <w:tcW w:type="dxa" w:w="831"/>
            <w:vMerge/>
          </w:tcPr>
          <w:p/>
        </w:tc>
        <w:tc>
          <w:tcPr>
            <w:tcW w:type="dxa" w:w="1661"/>
          </w:tcPr>
          <w:p>
            <w:pPr>
              <w:pStyle w:val="null3"/>
            </w:pPr>
            <w:r>
              <w:rPr>
                <w:rFonts w:ascii="仿宋_GB2312" w:hAnsi="仿宋_GB2312" w:cs="仿宋_GB2312" w:eastAsia="仿宋_GB2312"/>
              </w:rPr>
              <w:t>项目需求、项目现状的理解</w:t>
            </w:r>
          </w:p>
        </w:tc>
        <w:tc>
          <w:tcPr>
            <w:tcW w:type="dxa" w:w="2492"/>
          </w:tcPr>
          <w:p>
            <w:pPr>
              <w:pStyle w:val="null3"/>
            </w:pPr>
            <w:r>
              <w:rPr>
                <w:rFonts w:ascii="仿宋_GB2312" w:hAnsi="仿宋_GB2312" w:cs="仿宋_GB2312" w:eastAsia="仿宋_GB2312"/>
              </w:rPr>
              <w:t>供应商对项目需求、项目现状的理解。 项目理解全面，可行性较强，满足项目需求得（5-7]分； 项目理解度一般、具有一定可行性，与项目需求匹配度一般得（2-5]分； 对项目不理解，可行性较差得（0-2]分；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设计构思方案</w:t>
            </w:r>
          </w:p>
        </w:tc>
        <w:tc>
          <w:tcPr>
            <w:tcW w:type="dxa" w:w="2492"/>
          </w:tcPr>
          <w:p>
            <w:pPr>
              <w:pStyle w:val="null3"/>
            </w:pPr>
            <w:r>
              <w:rPr>
                <w:rFonts w:ascii="仿宋_GB2312" w:hAnsi="仿宋_GB2312" w:cs="仿宋_GB2312" w:eastAsia="仿宋_GB2312"/>
              </w:rPr>
              <w:t>供应商针对本项目的设计构思方案。 设计方案具有创意、风格符合采购需求得（12-18]分； 创意一般、风格与项目需求匹配度一般得（6-12]分； 创意策划不足，可操作性不强得（0-6]分； 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提供详细的项目进度方案，项目进度方案内容详细，进度合理，可操作性强得（4-6]分，项目进度方案内容较详细，具有可操作性得（2-4]分，项目进度方案内容简单，有缺失得（0-2]分；未提供不得分。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质量保障措施及承诺</w:t>
            </w:r>
          </w:p>
        </w:tc>
        <w:tc>
          <w:tcPr>
            <w:tcW w:type="dxa" w:w="2492"/>
          </w:tcPr>
          <w:p>
            <w:pPr>
              <w:pStyle w:val="null3"/>
            </w:pPr>
            <w:r>
              <w:rPr>
                <w:rFonts w:ascii="仿宋_GB2312" w:hAnsi="仿宋_GB2312" w:cs="仿宋_GB2312" w:eastAsia="仿宋_GB2312"/>
              </w:rPr>
              <w:t>根据项目实际情况提供质量保障措施及承诺，根据响应程度及可实施性计分。本项满分6分。未提供不得分。 措施及承诺科学合理、考虑周全、措施到位，针对性完全满足采购人需求，得（4-6]分；措施及承诺较合理，内容简单，有效性一般，针对性较能满足本项目服务需求，得（2-4]分；措施及承诺不合理，内容缺失，针对性不能满足本项目服务需求，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色彩搭配方案</w:t>
            </w:r>
          </w:p>
        </w:tc>
        <w:tc>
          <w:tcPr>
            <w:tcW w:type="dxa" w:w="2492"/>
          </w:tcPr>
          <w:p>
            <w:pPr>
              <w:pStyle w:val="null3"/>
            </w:pPr>
            <w:r>
              <w:rPr>
                <w:rFonts w:ascii="仿宋_GB2312" w:hAnsi="仿宋_GB2312" w:cs="仿宋_GB2312" w:eastAsia="仿宋_GB2312"/>
              </w:rPr>
              <w:t>设计方案针对本项目特点色彩搭配方案。 色彩搭配合理，设计效果符合载体特点，满足项目需求得（8-12]分； 色彩搭配一般，设计效果比较符合载体特点，与项目需求匹配度一般得（4-8]分； 色彩搭配差，设计效果不符合载体特点得（0-4]分；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成本控制保证措施</w:t>
            </w:r>
          </w:p>
        </w:tc>
        <w:tc>
          <w:tcPr>
            <w:tcW w:type="dxa" w:w="2492"/>
          </w:tcPr>
          <w:p>
            <w:pPr>
              <w:pStyle w:val="null3"/>
            </w:pPr>
            <w:r>
              <w:rPr>
                <w:rFonts w:ascii="仿宋_GB2312" w:hAnsi="仿宋_GB2312" w:cs="仿宋_GB2312" w:eastAsia="仿宋_GB2312"/>
              </w:rPr>
              <w:t>提供详细的成本控制保证措施。措施及承诺科学合理、考虑周全、措施到位，针对性完全满足采购人需求，得（3-5]分；措施及承诺较合理，内容简单，有效性一般，针对性较能满足本项目服务需求，得（1-3]分；措施及承诺不合理，内容缺失，针对性不能满足本项目服务需求，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根据项目实际情况提供完整的管理制度，本项满分3分。管理制度明确完整、健全规范，工作流程清晰得（1-3]分；管理制度模糊，内容欠缺不规范得（0-1]分，未提供不得分。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突发事件的应对措施</w:t>
            </w:r>
          </w:p>
        </w:tc>
        <w:tc>
          <w:tcPr>
            <w:tcW w:type="dxa" w:w="2492"/>
          </w:tcPr>
          <w:p>
            <w:pPr>
              <w:pStyle w:val="null3"/>
            </w:pPr>
            <w:r>
              <w:rPr>
                <w:rFonts w:ascii="仿宋_GB2312" w:hAnsi="仿宋_GB2312" w:cs="仿宋_GB2312" w:eastAsia="仿宋_GB2312"/>
              </w:rPr>
              <w:t>有针对本项目突发事件的应对措施，确保项目顺利实施及项目期间对突发情况的解决方案。本项满分3分。应急预案针对性强，有相对全面的预见性，应对措施科学、有效、可行，得（1-3]分；应急预案存在瑕疵，欠缺预见性或缺乏应对措施，得（0-1]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项目负责人：具有建筑设计或电气类高级工程师及以上职称的，得2分。 项目团队其他人员（项目负责人除外）：具有照明设计或建筑设计或电气类工程师职称的，每1人得1分，最高得8分。 注：提供人员身份证及职称证的复印件（加盖供应商公章），否则不得分。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完全响应竞争性磋商文件和合同条款的要求，严格按照服务方案执行，根据其对服务期的响应、服务期内的质量进度、服务人员到位情况、不能完全履行服务承诺时接受处罚等情况做出实质性承诺。本项满分10分。服务承诺可操作性强、细节描述详细、完整优越计（7-10]分；有相对的操作性、承诺内容良好计（3-7]分；服务承诺内容一般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全费用综合单价合计）最低的供应商的价格为磋商基准价，其价格分为满分。其他供应商的价格分统一按照下列公式计算：磋商报价得分=（磋商基准价/最后磋商报价）×价格权重（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报价一览表及分项报价表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详见附件：业绩证明文件</w:t>
      </w:r>
    </w:p>
    <w:p>
      <w:pPr>
        <w:pStyle w:val="null3"/>
        <w:ind w:firstLine="960"/>
      </w:pPr>
      <w:r>
        <w:rPr>
          <w:rFonts w:ascii="仿宋_GB2312" w:hAnsi="仿宋_GB2312" w:cs="仿宋_GB2312" w:eastAsia="仿宋_GB2312"/>
        </w:rPr>
        <w:t>详见附件：响应方案说明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