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版本号：HXGJXM2025-ZC-CS106620250702001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丁字形路牌更正项目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HXGJXM2025-ZC-CS1066</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丁字形路牌更正项目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丁字形路牌更正项目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丁字形路牌更正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3、非联合体：本合同包不接受联合体投标。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8115 5739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代理服务费收费标准：定额6000.00元。 户名：华夏国际项目管理（西安）有限公司 开户行:中国工商银行股份有限公司西安城南科技支行 账号:3700024819200130193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丁字形路牌更正</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280,500.00</w:t>
      </w:r>
    </w:p>
    <w:p>
      <w:pPr>
        <w:pStyle w:val="null3"/>
      </w:pPr>
      <w:r>
        <w:rPr>
          <w:rFonts w:ascii="仿宋_GB2312" w:hAnsi="仿宋_GB2312" w:cs="仿宋_GB2312" w:eastAsia="仿宋_GB2312"/>
        </w:rPr>
        <w:t>采购包最高限价（元）: 280,500.00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路牌更正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标的名称：路牌更正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jc w:val="both"/>
            </w:pPr>
            <w:r>
              <w:rPr>
                <w:rFonts w:ascii="仿宋_GB2312" w:hAnsi="仿宋_GB2312" w:cs="仿宋_GB2312" w:eastAsia="仿宋_GB2312"/>
                <w:sz w:val="21"/>
              </w:rPr>
              <w:t>采购内容及技术要求</w:t>
            </w:r>
          </w:p>
          <w:p>
            <w:pPr>
              <w:pStyle w:val="null3"/>
              <w:ind w:firstLine="442"/>
              <w:jc w:val="both"/>
            </w:pPr>
            <w:r>
              <w:rPr>
                <w:rFonts w:ascii="仿宋_GB2312" w:hAnsi="仿宋_GB2312" w:cs="仿宋_GB2312" w:eastAsia="仿宋_GB2312"/>
                <w:sz w:val="21"/>
                <w:b/>
              </w:rPr>
              <w:t>1.改造范围</w:t>
            </w:r>
          </w:p>
          <w:p>
            <w:pPr>
              <w:pStyle w:val="null3"/>
              <w:ind w:firstLine="440"/>
              <w:jc w:val="both"/>
            </w:pPr>
            <w:r>
              <w:rPr>
                <w:rFonts w:ascii="仿宋_GB2312" w:hAnsi="仿宋_GB2312" w:cs="仿宋_GB2312" w:eastAsia="仿宋_GB2312"/>
                <w:sz w:val="21"/>
              </w:rPr>
              <w:t>对高新区辖区内部分存在版面信息错误、规格不符、锈蚀损坏、反光膜层脱落的丁字型路牌面板进行更换或修复，保留原有立柱及基础结构。</w:t>
            </w:r>
          </w:p>
          <w:p>
            <w:pPr>
              <w:pStyle w:val="null3"/>
              <w:ind w:firstLine="440"/>
              <w:jc w:val="both"/>
            </w:pPr>
            <w:r>
              <w:rPr>
                <w:rFonts w:ascii="仿宋_GB2312" w:hAnsi="仿宋_GB2312" w:cs="仿宋_GB2312" w:eastAsia="仿宋_GB2312"/>
                <w:sz w:val="21"/>
              </w:rPr>
              <w:t>具体数量以采购单位提供的点位清单为准（预估</w:t>
            </w:r>
            <w:r>
              <w:rPr>
                <w:rFonts w:ascii="仿宋_GB2312" w:hAnsi="仿宋_GB2312" w:cs="仿宋_GB2312" w:eastAsia="仿宋_GB2312"/>
                <w:sz w:val="21"/>
              </w:rPr>
              <w:t>400</w:t>
            </w:r>
            <w:r>
              <w:rPr>
                <w:rFonts w:ascii="仿宋_GB2312" w:hAnsi="仿宋_GB2312" w:cs="仿宋_GB2312" w:eastAsia="仿宋_GB2312"/>
                <w:sz w:val="21"/>
              </w:rPr>
              <w:t>处）。</w:t>
            </w:r>
          </w:p>
          <w:p>
            <w:pPr>
              <w:pStyle w:val="null3"/>
              <w:ind w:firstLine="442"/>
              <w:jc w:val="both"/>
            </w:pPr>
            <w:r>
              <w:rPr>
                <w:rFonts w:ascii="仿宋_GB2312" w:hAnsi="仿宋_GB2312" w:cs="仿宋_GB2312" w:eastAsia="仿宋_GB2312"/>
                <w:sz w:val="21"/>
                <w:b/>
              </w:rPr>
              <w:t>2.</w:t>
            </w:r>
            <w:r>
              <w:rPr>
                <w:rFonts w:ascii="仿宋_GB2312" w:hAnsi="仿宋_GB2312" w:cs="仿宋_GB2312" w:eastAsia="仿宋_GB2312"/>
                <w:sz w:val="21"/>
                <w:b/>
              </w:rPr>
              <w:t>技术标准</w:t>
            </w:r>
          </w:p>
          <w:tbl>
            <w:tblPr>
              <w:tblInd w:type="dxa" w:w="195"/>
              <w:tblBorders>
                <w:top w:val="none" w:color="000000" w:sz="4"/>
                <w:left w:val="none" w:color="000000" w:sz="4"/>
                <w:bottom w:val="none" w:color="000000" w:sz="4"/>
                <w:right w:val="none" w:color="000000" w:sz="4"/>
                <w:insideH w:val="none"/>
                <w:insideV w:val="none"/>
              </w:tblBorders>
            </w:tblPr>
            <w:tblGrid>
              <w:gridCol w:w="559"/>
              <w:gridCol w:w="1994"/>
            </w:tblGrid>
            <w:tr>
              <w:tc>
                <w:tcPr>
                  <w:tcW w:type="dxa" w:w="559"/>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442"/>
                    <w:jc w:val="both"/>
                  </w:pPr>
                  <w:r>
                    <w:rPr>
                      <w:rFonts w:ascii="仿宋_GB2312" w:hAnsi="仿宋_GB2312" w:cs="仿宋_GB2312" w:eastAsia="仿宋_GB2312"/>
                      <w:sz w:val="21"/>
                      <w:b/>
                      <w:color w:val="000000"/>
                    </w:rPr>
                    <w:t>项目</w:t>
                  </w:r>
                </w:p>
              </w:tc>
              <w:tc>
                <w:tcPr>
                  <w:tcW w:type="dxa" w:w="1994"/>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442"/>
                    <w:jc w:val="center"/>
                  </w:pPr>
                  <w:r>
                    <w:rPr>
                      <w:rFonts w:ascii="仿宋_GB2312" w:hAnsi="仿宋_GB2312" w:cs="仿宋_GB2312" w:eastAsia="仿宋_GB2312"/>
                      <w:sz w:val="21"/>
                      <w:b/>
                      <w:color w:val="000000"/>
                    </w:rPr>
                    <w:t>强制要求</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材质规格</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1"/>
                      <w:color w:val="000000"/>
                    </w:rPr>
                    <w:t>1330x400mm</w:t>
                  </w:r>
                  <w:r>
                    <w:rPr>
                      <w:rFonts w:ascii="仿宋_GB2312" w:hAnsi="仿宋_GB2312" w:cs="仿宋_GB2312" w:eastAsia="仿宋_GB2312"/>
                      <w:sz w:val="21"/>
                      <w:color w:val="000000"/>
                    </w:rPr>
                    <w:t xml:space="preserve">铝塑板(厚 </w:t>
                  </w:r>
                  <w:r>
                    <w:rPr>
                      <w:rFonts w:ascii="仿宋_GB2312" w:hAnsi="仿宋_GB2312" w:cs="仿宋_GB2312" w:eastAsia="仿宋_GB2312"/>
                      <w:sz w:val="21"/>
                      <w:color w:val="000000"/>
                    </w:rPr>
                    <w:t>3mm</w:t>
                  </w:r>
                  <w:r>
                    <w:rPr>
                      <w:rFonts w:ascii="仿宋_GB2312" w:hAnsi="仿宋_GB2312" w:cs="仿宋_GB2312" w:eastAsia="仿宋_GB2312"/>
                      <w:sz w:val="21"/>
                      <w:color w:val="000000"/>
                    </w:rPr>
                    <w:t>，上下铝板厚度不少于</w:t>
                  </w:r>
                  <w:r>
                    <w:rPr>
                      <w:rFonts w:ascii="仿宋_GB2312" w:hAnsi="仿宋_GB2312" w:cs="仿宋_GB2312" w:eastAsia="仿宋_GB2312"/>
                      <w:sz w:val="21"/>
                      <w:color w:val="000000"/>
                    </w:rPr>
                    <w:t>0.2mm</w:t>
                  </w:r>
                  <w:r>
                    <w:rPr>
                      <w:rFonts w:ascii="仿宋_GB2312" w:hAnsi="仿宋_GB2312" w:cs="仿宋_GB2312" w:eastAsia="仿宋_GB2312"/>
                      <w:sz w:val="21"/>
                      <w:color w:val="000000"/>
                    </w:rPr>
                    <w:t>)</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反光膜</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1"/>
                      <w:color w:val="000000"/>
                    </w:rPr>
                    <w:t>双面喷塑，</w:t>
                  </w:r>
                  <w:r>
                    <w:rPr>
                      <w:rFonts w:ascii="仿宋_GB2312" w:hAnsi="仿宋_GB2312" w:cs="仿宋_GB2312" w:eastAsia="仿宋_GB2312"/>
                      <w:sz w:val="21"/>
                      <w:color w:val="000000"/>
                    </w:rPr>
                    <w:t>3D</w:t>
                  </w:r>
                  <w:r>
                    <w:rPr>
                      <w:rFonts w:ascii="仿宋_GB2312" w:hAnsi="仿宋_GB2312" w:cs="仿宋_GB2312" w:eastAsia="仿宋_GB2312"/>
                      <w:sz w:val="21"/>
                      <w:color w:val="000000"/>
                    </w:rPr>
                    <w:t>反光膜材料制版贴字</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版面内容</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1"/>
                      <w:color w:val="000000"/>
                    </w:rPr>
                    <w:t>汉字+拼音（符合</w:t>
                  </w:r>
                  <w:r>
                    <w:rPr>
                      <w:rFonts w:ascii="仿宋_GB2312" w:hAnsi="仿宋_GB2312" w:cs="仿宋_GB2312" w:eastAsia="仿宋_GB2312"/>
                      <w:sz w:val="21"/>
                    </w:rPr>
                    <w:t>西安市地方规范</w:t>
                  </w:r>
                  <w:r>
                    <w:rPr>
                      <w:rFonts w:ascii="仿宋_GB2312" w:hAnsi="仿宋_GB2312" w:cs="仿宋_GB2312" w:eastAsia="仿宋_GB2312"/>
                      <w:sz w:val="21"/>
                      <w:color w:val="000000"/>
                    </w:rPr>
                    <w:t>）</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连接兼容性</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1"/>
                      <w:color w:val="000000"/>
                    </w:rPr>
                    <w:t>需现场测量，安装后无晃动、无异响</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工艺要求</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1"/>
                      <w:color w:val="000000"/>
                    </w:rPr>
                    <w:t>数控精雕机雕刻，现场结构胶粘贴，</w:t>
                  </w:r>
                </w:p>
              </w:tc>
            </w:tr>
          </w:tbl>
          <w:p>
            <w:pPr>
              <w:pStyle w:val="null3"/>
              <w:ind w:firstLine="442"/>
              <w:jc w:val="both"/>
            </w:pPr>
            <w:r>
              <w:rPr>
                <w:rFonts w:ascii="仿宋_GB2312" w:hAnsi="仿宋_GB2312" w:cs="仿宋_GB2312" w:eastAsia="仿宋_GB2312"/>
                <w:sz w:val="21"/>
                <w:b/>
              </w:rPr>
              <w:t>3.</w:t>
            </w:r>
            <w:r>
              <w:rPr>
                <w:rFonts w:ascii="仿宋_GB2312" w:hAnsi="仿宋_GB2312" w:cs="仿宋_GB2312" w:eastAsia="仿宋_GB2312"/>
                <w:sz w:val="21"/>
                <w:b/>
              </w:rPr>
              <w:t>服务要求</w:t>
            </w:r>
          </w:p>
          <w:p>
            <w:pPr>
              <w:pStyle w:val="null3"/>
              <w:ind w:firstLine="440"/>
              <w:jc w:val="both"/>
            </w:pPr>
            <w:r>
              <w:rPr>
                <w:rFonts w:ascii="仿宋_GB2312" w:hAnsi="仿宋_GB2312" w:cs="仿宋_GB2312" w:eastAsia="仿宋_GB2312"/>
                <w:sz w:val="21"/>
              </w:rPr>
              <w:t>拆除清理：安全拆除旧路牌并清理现场，杜绝建筑垃圾残留。</w:t>
            </w:r>
          </w:p>
          <w:p>
            <w:pPr>
              <w:pStyle w:val="null3"/>
              <w:ind w:firstLine="440"/>
              <w:jc w:val="both"/>
            </w:pPr>
            <w:r>
              <w:rPr>
                <w:rFonts w:ascii="仿宋_GB2312" w:hAnsi="仿宋_GB2312" w:cs="仿宋_GB2312" w:eastAsia="仿宋_GB2312"/>
                <w:sz w:val="21"/>
              </w:rPr>
              <w:t>运输安装：提供防护包装运输，安装后</w:t>
            </w:r>
            <w:r>
              <w:rPr>
                <w:rFonts w:ascii="仿宋_GB2312" w:hAnsi="仿宋_GB2312" w:cs="仿宋_GB2312" w:eastAsia="仿宋_GB2312"/>
                <w:sz w:val="21"/>
              </w:rPr>
              <w:t>48</w:t>
            </w:r>
            <w:r>
              <w:rPr>
                <w:rFonts w:ascii="仿宋_GB2312" w:hAnsi="仿宋_GB2312" w:cs="仿宋_GB2312" w:eastAsia="仿宋_GB2312"/>
                <w:sz w:val="21"/>
              </w:rPr>
              <w:t>小时内进行稳固性检测。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合同签订后30个日历日内完成全部改造及验收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所有供货产品自收货之日起质保 12 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 或者发生违约，采购单位会同采购代理机构有权终止合同，依法向中标供应商进行经济索赔，并报请政府采购监督管理机关进 行相应的行政处罚。采购单位违约的，应当赔偿给中标供应商造成的经济损失。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5.社会保障资金缴纳证明：提供响应文件递交截止日前一年内已缴存的至少一个月的社会保障资金缴存单据或社保机构开具的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产品技术参数表 商务应答表 标的清单 报价表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资格证明文件.docx 供应商承诺书.docx 响应文件封面 产品技术参数表 残疾人福利性单位声明函 标的清单 商务条款偏离表及投入人员汇总.docx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资格证明文件.docx 供应商承诺书.docx 响应文件封面 产品技术参数表 残疾人福利性单位声明函 标的清单 商务条款偏离表及投入人员汇总.docx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资格证明文件.docx 供应商承诺书.docx 响应文件封面 产品技术参数表 残疾人福利性单位声明函 标的清单 商务条款偏离表及投入人员汇总.docx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产品技术参数表 商务应答表 商务条款偏离表及投入人员汇总.docx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应满足磋商文件中要求的供货期</w:t>
            </w:r>
          </w:p>
        </w:tc>
        <w:tc>
          <w:tcPr>
            <w:tcW w:type="dxa" w:w="1661"/>
          </w:tcPr>
          <w:p>
            <w:pPr>
              <w:pStyle w:val="null3"/>
            </w:pPr>
            <w:r>
              <w:rPr>
                <w:rFonts w:ascii="仿宋_GB2312" w:hAnsi="仿宋_GB2312" w:cs="仿宋_GB2312" w:eastAsia="仿宋_GB2312"/>
              </w:rPr>
              <w:t>商务应答表 商务条款偏离表及投入人员汇总.docx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资格证明文件.docx 供应商承诺书.docx 响应文件封面 产品技术参数表 残疾人福利性单位声明函 标的清单 商务条款偏离表及投入人员汇总.docx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提供完整详细服务保障方案，包括不限于工作流程、质量管理、工程安全、服务内容及时限承诺等内容。 (1)服务方案清晰完整、技术资料非常全面，方案均应具备完整性、合理性、规范性和可操作性，整体指标完全满足或优于招标文件要求计10分； （2）服务方案较为完整清晰、技术资料较为全面，整体指标能够满足招标文件要求计7分； （3）服务方案基本完整清晰、技术资料较不全面，整体指标基本能够满足招标文件要求计4分； （4）服务方案不清晰、技术资料不全面，整体指标不太能够满足招标文件要求计1分；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人员投入方案</w:t>
            </w:r>
          </w:p>
        </w:tc>
        <w:tc>
          <w:tcPr>
            <w:tcW w:type="dxa" w:w="2492"/>
          </w:tcPr>
          <w:p>
            <w:pPr>
              <w:pStyle w:val="null3"/>
            </w:pPr>
            <w:r>
              <w:rPr>
                <w:rFonts w:ascii="仿宋_GB2312" w:hAnsi="仿宋_GB2312" w:cs="仿宋_GB2312" w:eastAsia="仿宋_GB2312"/>
              </w:rPr>
              <w:t>（1）人员投入方案清晰完整，人员配置合理，职责明确，培训计划完善，人员管理制度切实可行，技术资料非常全面，整体指标完全满足或优于招标文件要求计8分； （2）人员投入方案较为完整清晰、技术资料较为全面，整体指标能够满足招标文件要求计5分； （3）人员投入方案基本完整、技术资料基本全面，整体指标基本满足招标文件要求计3分； （4）人员投入方案不清晰、技术资料不全面，整体指标不能满足招标文件要求计1分；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拆除清理方案</w:t>
            </w:r>
          </w:p>
        </w:tc>
        <w:tc>
          <w:tcPr>
            <w:tcW w:type="dxa" w:w="2492"/>
          </w:tcPr>
          <w:p>
            <w:pPr>
              <w:pStyle w:val="null3"/>
            </w:pPr>
            <w:r>
              <w:rPr>
                <w:rFonts w:ascii="仿宋_GB2312" w:hAnsi="仿宋_GB2312" w:cs="仿宋_GB2312" w:eastAsia="仿宋_GB2312"/>
              </w:rPr>
              <w:t>提供完整、科学、安全的拆除清理方案，杜绝建筑垃圾残留。 （1）方案清晰完整、全面，投入的拆除设备及工具质量安全可靠，配置合理，满足采购服务需要，整体指标完全满足或优于招标文件要求计10分； （2）方案较清晰完整、较全面，投入的拆除设备及工具质量较安全可靠，配置较合理，较能满足采购服务需要，整体指标满足招标文件要求计7分； （3）方案基本完整、不太全面，投入基本的拆除设备及工具，配置基本合理，基本满足采购服务需要，整体指标基本满足招标文件要求计4分； （4）方案不太完整，投入的拆除设备及工具质量安全未说明，配置基本合理，基本满足采购服务需要，整体指标不太满足招标文件要求计1分；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拟派项目经理资质优良，结合从业年限、工作经验及业绩等因素，提供一份同类业绩计2分，满分4分。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设备及工具投入方案</w:t>
            </w:r>
          </w:p>
        </w:tc>
        <w:tc>
          <w:tcPr>
            <w:tcW w:type="dxa" w:w="2492"/>
          </w:tcPr>
          <w:p>
            <w:pPr>
              <w:pStyle w:val="null3"/>
            </w:pPr>
            <w:r>
              <w:rPr>
                <w:rFonts w:ascii="仿宋_GB2312" w:hAnsi="仿宋_GB2312" w:cs="仿宋_GB2312" w:eastAsia="仿宋_GB2312"/>
              </w:rPr>
              <w:t>1、提供设备及工具方案。 （1）设备及工具方案清晰完整、技术资料非常全面，投入的设备及工具质量安全可靠，配置合理，满足采购服务需要，整体指标完全满足或优于招标文件要求计4分； （2）设备及工具方案较为完整清晰、技术资料较为全面，整体指标能够满足招标文件要求计2分； （3）设备及工具方案不清晰、技术资料不全面，或无工具方案计1分； 未提供不得分。 2、根据工作需要配置必需的工作车辆，需提供自有工作车辆的证明扫描件（行驶证等材料），进场服务前原件备查（不包括小轿车、越野车、大货车等不适用于路牌维护的车辆），每辆车计2分，最高计6分。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提供项目维护应急处置方案，包括但不限于突发事件、事故处理等。 （1）各类情况考虑较为周全，同时能积极配合采购人工作，措施得当，能够在必要时提供应急服务响应计8分； （2）各类情况能提供一定的应对措施，能够保障应急所需计5分； （3）各类情况尚能提供基本应对措施，基本能够保障应急所需计3分； （4）各类情况考虑欠妥，难以保障应急需求计1分。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根据供应商提供的针对本项目特点的售后服务方案 （1）各类情况考虑较为周全，同时能积极配合采购人工作，措施得当，能够在需要时提供售后服务计10分； （2）各类情况能提供一定的应对措施，能够保障后期售后所需计7分； （3）各类情况尚能提供基本应对措施，基本能够保障后期售后所需计4分； （4）各类情况考虑欠妥，难以保障后期售后计1分。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业绩要求：提供2022年7月1日起至今的同类项目业绩，每提供一份业绩，得2分，最多得10分（以合同签订时间为准）。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1、经初审合格的响应文件，通过符合性审查的投标报价为有效投标价。 2、有效最低报价为基准价得30分。 3、按（有效最低报价/有 效投标报价）×30的公式计算报价得分。 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详见附件：合同--丁字形路牌更正项目.docx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