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版本号：HCJT[2025政采]第022号(XDZ2025-205-N-126)20250720001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西安市雁塔区木塔寨小学操场改造及教学楼维修提升项目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HCJT[2025政采]第022号(XDZ2025-205-N-126)</w:t>
      </w:r>
      <w:r>
        <w:br/>
      </w:r>
      <w:r>
        <w:br/>
      </w:r>
      <w:r>
        <w:br/>
      </w:r>
    </w:p>
    <w:p>
      <w:pPr>
        <w:pStyle w:val="null3"/>
        <w:jc w:val="center"/>
        <w:outlineLvl w:val="2"/>
      </w:pPr>
      <w:r>
        <w:rPr>
          <w:rFonts w:ascii="仿宋_GB2312" w:hAnsi="仿宋_GB2312" w:cs="仿宋_GB2312" w:eastAsia="仿宋_GB2312"/>
          <w:sz w:val="28"/>
          <w:b/>
        </w:rPr>
        <w:t>西安市雁塔区双水磨小学(丈八财务点)</w:t>
      </w:r>
    </w:p>
    <w:p>
      <w:pPr>
        <w:pStyle w:val="null3"/>
        <w:jc w:val="center"/>
        <w:outlineLvl w:val="2"/>
      </w:pPr>
      <w:r>
        <w:rPr>
          <w:rFonts w:ascii="仿宋_GB2312" w:hAnsi="仿宋_GB2312" w:cs="仿宋_GB2312" w:eastAsia="仿宋_GB2312"/>
          <w:sz w:val="28"/>
          <w:b/>
        </w:rPr>
        <w:t>陕西华辰景天工程项目管理有限公司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陕西华辰景天工程项目管理有限公司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西安市雁塔区双水磨小学(丈八财务点)</w:t>
      </w:r>
      <w:r>
        <w:rPr>
          <w:rFonts w:ascii="仿宋_GB2312" w:hAnsi="仿宋_GB2312" w:cs="仿宋_GB2312" w:eastAsia="仿宋_GB2312"/>
        </w:rPr>
        <w:t>委托，拟对</w:t>
      </w:r>
      <w:r>
        <w:rPr>
          <w:rFonts w:ascii="仿宋_GB2312" w:hAnsi="仿宋_GB2312" w:cs="仿宋_GB2312" w:eastAsia="仿宋_GB2312"/>
        </w:rPr>
        <w:t>西安市雁塔区木塔寨小学操场改造及教学楼维修提升项目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HCJT[2025政采]第022号(XDZ2025-205-N-126)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西安市雁塔区木塔寨小学操场改造及教学楼维修提升项目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西安市雁塔区木塔寨小学操场改造及教学楼维修提升项目。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采购包1（西安市雁塔区木塔寨小学操场改造及教学楼维修提升项目）：属于专门面向中小企业采购。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1、有效的投标主体：具有独立承担民事责任能力的法人、其他组织或自然人，并出具合法有效的营业执照或事业单位法人证书等国家规定的相关证明，自然人参与的提供其身份证明。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本单位自2025年1月1日至今，已缴纳的任意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3、税收缴纳证明：供应商提供本单位自2025年1月1日至今，已缴纳的任意一个月的纳税证明或完税证明，依法免税的单位应提供相关证明材料。</w:t>
      </w:r>
    </w:p>
    <w:p>
      <w:pPr>
        <w:pStyle w:val="null3"/>
      </w:pPr>
      <w:r>
        <w:rPr>
          <w:rFonts w:ascii="仿宋_GB2312" w:hAnsi="仿宋_GB2312" w:cs="仿宋_GB2312" w:eastAsia="仿宋_GB2312"/>
        </w:rPr>
        <w:t>4、财务状况证明 （任选其一）：提供2023年度或2024年度经审计的财务报告（成立时间至提交响应文件截止时间不足一年的可提供成立后任意时段的资产负债表），或提供基本存款账户信息及2025年4月1日至今其基本存款账户开户银行出具的资信证明，或财政部门认可的政府采购专业担保机构出具的投标担保函。</w:t>
      </w:r>
    </w:p>
    <w:p>
      <w:pPr>
        <w:pStyle w:val="null3"/>
      </w:pPr>
      <w:r>
        <w:rPr>
          <w:rFonts w:ascii="仿宋_GB2312" w:hAnsi="仿宋_GB2312" w:cs="仿宋_GB2312" w:eastAsia="仿宋_GB2312"/>
        </w:rPr>
        <w:t>5、无重大违法记录声明及信用要求：提供参加本次政府采购活动前三年内在经营活动中没有重大违法记录的书面声明，以及未被“信用中国”网站（www.creditchina.gov.cn）列入“失信被执行人”、“重大税收违法失信主体”，未被“中国政府采购网”（http://www.ccgp.gov.cn/）列入“政府采购严重违法失信行为记录名单”； 注：采购代理机构将在投标截止日当天信用查询阶段通过 〔信用中国（www.creditchina.gov.cn）〕和〔中国政府采购网（www.ccgp.gov.cn）〕网站对供应商的信用情况进行查询。（若查询结果不合格，其信用查询不予通过，响应文件无效）。</w:t>
      </w:r>
    </w:p>
    <w:p>
      <w:pPr>
        <w:pStyle w:val="null3"/>
      </w:pPr>
      <w:r>
        <w:rPr>
          <w:rFonts w:ascii="仿宋_GB2312" w:hAnsi="仿宋_GB2312" w:cs="仿宋_GB2312" w:eastAsia="仿宋_GB2312"/>
        </w:rPr>
        <w:t>6、履行合同承诺声明：供应商应出具履行合同所必需的设备和专业技术能力的承诺声明。</w:t>
      </w:r>
    </w:p>
    <w:p>
      <w:pPr>
        <w:pStyle w:val="null3"/>
      </w:pPr>
      <w:r>
        <w:rPr>
          <w:rFonts w:ascii="仿宋_GB2312" w:hAnsi="仿宋_GB2312" w:cs="仿宋_GB2312" w:eastAsia="仿宋_GB2312"/>
        </w:rPr>
        <w:t>7、供应商身份证明：法定代表人（负责人）参加磋商的，须提供法定代表人（负责人）身份证明；法定代表人（负责人）授权他人参加磋商的，须提供法定代表人（负责人）授权委托书，且委托代理人须提供2025年4月1日至今供应商予以缴纳的任意一个月社保证明材料。磋商文件中凡是需要法定代表人盖章之处，非法人单位的负责人均参照执行。 法人的分支机构参与投标时，除提供《法定代表人（负责人）授权委托书》外，还须同时提供法人给分支机构出具的授权书。</w:t>
      </w:r>
    </w:p>
    <w:p>
      <w:pPr>
        <w:pStyle w:val="null3"/>
      </w:pPr>
      <w:r>
        <w:rPr>
          <w:rFonts w:ascii="仿宋_GB2312" w:hAnsi="仿宋_GB2312" w:cs="仿宋_GB2312" w:eastAsia="仿宋_GB2312"/>
        </w:rPr>
        <w:t>8、供应商项目资质要求：供应商具备建设行政主管部门颁发的建筑工程施工总承包三级及以上资质，并具有有效的安全生产许可证。</w:t>
      </w:r>
    </w:p>
    <w:p>
      <w:pPr>
        <w:pStyle w:val="null3"/>
      </w:pPr>
      <w:r>
        <w:rPr>
          <w:rFonts w:ascii="仿宋_GB2312" w:hAnsi="仿宋_GB2312" w:cs="仿宋_GB2312" w:eastAsia="仿宋_GB2312"/>
        </w:rPr>
        <w:t>9、拟派项目经理资质和专业要求：拟派项目经理具备建设行政主管部门颁发的建筑工程专业二级及以上注册建造师执业资格，具备有效的安全生产考核合格证书（建安B证），且未担任其它在施建设工程的项目经理（提供无在建工程承诺书）。</w:t>
      </w:r>
    </w:p>
    <w:p>
      <w:pPr>
        <w:pStyle w:val="null3"/>
      </w:pPr>
      <w:r>
        <w:rPr>
          <w:rFonts w:ascii="仿宋_GB2312" w:hAnsi="仿宋_GB2312" w:cs="仿宋_GB2312" w:eastAsia="仿宋_GB2312"/>
        </w:rPr>
        <w:t>10、供应商资质基本信息及项目经理执业基本信息查询：供应商资质基本信息及项目经理（注册建造师）执业基本信息应在“陕西建设网（http://js.shaanxi.gov.cn/ ）陕西省建筑市场监管与诚信信息发布平台”可查询。</w:t>
      </w:r>
    </w:p>
    <w:p>
      <w:pPr>
        <w:pStyle w:val="null3"/>
      </w:pPr>
      <w:r>
        <w:rPr>
          <w:rFonts w:ascii="仿宋_GB2312" w:hAnsi="仿宋_GB2312" w:cs="仿宋_GB2312" w:eastAsia="仿宋_GB2312"/>
        </w:rPr>
        <w:t>11、其他要求：供应商不得在项目所在地各级建设诚信平台被列为投标受限制的行为人。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西安市雁塔区双水磨小学(丈八财务点)</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陕西省西安市雁塔区丈八北路137号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秦小磊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029-88580244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陕西华辰景天工程项目管理有限公司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陕西省西安市雁塔区科技二路67号启迪中心K座2801室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腾芸鹏、王芳、杨晨昱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029-89381506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采购包1：1,151,186.35元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代理服务费收费标准：1、参照国家计委计价格[2002]1980号及发改办价格[2003]857号通知规定，由成交供应商支付招标代理服务费，招标代理服务费不足5000元，按5000元收取，由成交供应商向代理机构支付。 2、成交单位在领取成交通知书前，须向采购代理机构支付招标代理服务费。 招标代理服务费交纳信息： 银行户名：陕西华辰景天工程项目管理有限公司 纳税人识别号：91610000790776670Y 地址：西安市高新区科技二路67号启迪中心K座2801室 电话：029-88328495 开户银行：浙商银行西安分行营业部 账 号：7910000010120100657419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西安市雁塔区双水磨小学(丈八财务点)</w:t>
      </w:r>
      <w:r>
        <w:rPr>
          <w:rFonts w:ascii="仿宋_GB2312" w:hAnsi="仿宋_GB2312" w:cs="仿宋_GB2312" w:eastAsia="仿宋_GB2312"/>
        </w:rPr>
        <w:t>和</w:t>
      </w:r>
      <w:r>
        <w:rPr>
          <w:rFonts w:ascii="仿宋_GB2312" w:hAnsi="仿宋_GB2312" w:cs="仿宋_GB2312" w:eastAsia="仿宋_GB2312"/>
        </w:rPr>
        <w:t>陕西华辰景天工程项目管理有限公司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西安市雁塔区双水磨小学(丈八财务点)</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陕西华辰景天工程项目管理有限公司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西安市雁塔区双水磨小学(丈八财务点)</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陕西华辰景天工程项目管理有限公司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陕西华辰景天工程项目管理有限公司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陕西华辰景天工程项目管理有限公司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陕西华辰景天工程项目管理有限公司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联系人：腾芸鹏、杨晨昱</w:t>
      </w:r>
    </w:p>
    <w:p>
      <w:pPr>
        <w:pStyle w:val="null3"/>
      </w:pPr>
      <w:r>
        <w:rPr>
          <w:rFonts w:ascii="仿宋_GB2312" w:hAnsi="仿宋_GB2312" w:cs="仿宋_GB2312" w:eastAsia="仿宋_GB2312"/>
        </w:rPr>
        <w:t>联系电话：029-89381506</w:t>
      </w:r>
    </w:p>
    <w:p>
      <w:pPr>
        <w:pStyle w:val="null3"/>
      </w:pPr>
      <w:r>
        <w:rPr>
          <w:rFonts w:ascii="仿宋_GB2312" w:hAnsi="仿宋_GB2312" w:cs="仿宋_GB2312" w:eastAsia="仿宋_GB2312"/>
        </w:rPr>
        <w:t>地址：陕西省西安市雁塔区科技二路67号启迪中心K座2801室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1,151,186.35</w:t>
      </w:r>
    </w:p>
    <w:p>
      <w:pPr>
        <w:pStyle w:val="null3"/>
      </w:pPr>
      <w:r>
        <w:rPr>
          <w:rFonts w:ascii="仿宋_GB2312" w:hAnsi="仿宋_GB2312" w:cs="仿宋_GB2312" w:eastAsia="仿宋_GB2312"/>
        </w:rPr>
        <w:t>采购包最高限价（元）: 1,151,186.35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1,151,186.35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一、采购内容及预算：</w:t>
            </w:r>
          </w:p>
          <w:p>
            <w:pPr>
              <w:pStyle w:val="null3"/>
            </w:pPr>
            <w:r>
              <w:rPr>
                <w:rFonts w:ascii="仿宋_GB2312" w:hAnsi="仿宋_GB2312" w:cs="仿宋_GB2312" w:eastAsia="仿宋_GB2312"/>
              </w:rPr>
              <w:t>1、采购内容（招标范围）：西安市雁塔区木塔寨小学操场改造及教学楼维修提升项目。</w:t>
            </w:r>
          </w:p>
          <w:p>
            <w:pPr>
              <w:pStyle w:val="null3"/>
            </w:pPr>
            <w:r>
              <w:rPr>
                <w:rFonts w:ascii="仿宋_GB2312" w:hAnsi="仿宋_GB2312" w:cs="仿宋_GB2312" w:eastAsia="仿宋_GB2312"/>
              </w:rPr>
              <w:t>2、预算：1151186.35元（115.118635万元）。</w:t>
            </w:r>
          </w:p>
          <w:p>
            <w:pPr>
              <w:pStyle w:val="null3"/>
            </w:pPr>
            <w:r>
              <w:rPr>
                <w:rFonts w:ascii="仿宋_GB2312" w:hAnsi="仿宋_GB2312" w:cs="仿宋_GB2312" w:eastAsia="仿宋_GB2312"/>
              </w:rPr>
              <w:t>二、项目说明：</w:t>
            </w:r>
          </w:p>
          <w:p>
            <w:pPr>
              <w:pStyle w:val="null3"/>
            </w:pPr>
            <w:r>
              <w:rPr>
                <w:rFonts w:ascii="仿宋_GB2312" w:hAnsi="仿宋_GB2312" w:cs="仿宋_GB2312" w:eastAsia="仿宋_GB2312"/>
              </w:rPr>
              <w:t>1、操场改造工程</w:t>
            </w:r>
          </w:p>
          <w:p>
            <w:pPr>
              <w:pStyle w:val="null3"/>
            </w:pPr>
            <w:r>
              <w:rPr>
                <w:rFonts w:ascii="仿宋_GB2312" w:hAnsi="仿宋_GB2312" w:cs="仿宋_GB2312" w:eastAsia="仿宋_GB2312"/>
              </w:rPr>
              <w:t>操场作为学生体育活动的核心区域，其设施状况直接影响学生的运动体验与安全。通过对操场进行改造，具体目标如下：</w:t>
            </w:r>
          </w:p>
          <w:p>
            <w:pPr>
              <w:pStyle w:val="null3"/>
            </w:pPr>
            <w:r>
              <w:rPr>
                <w:rFonts w:ascii="仿宋_GB2312" w:hAnsi="仿宋_GB2312" w:cs="仿宋_GB2312" w:eastAsia="仿宋_GB2312"/>
              </w:rPr>
              <w:t>（</w:t>
            </w:r>
            <w:r>
              <w:rPr>
                <w:rFonts w:ascii="仿宋_GB2312" w:hAnsi="仿宋_GB2312" w:cs="仿宋_GB2312" w:eastAsia="仿宋_GB2312"/>
              </w:rPr>
              <w:t>1）整顿好的足球运动场地，改善运动体验，且人造草坪易于维护，对跑道铺设塑胶地面，采用塑胶跑道面层与橡胶颗粒底层，经过基层清理、抹找平层、铺设填充层及面层铺贴等工序，可打造平整、有弹性的跑道表面，减少学生跑步时的冲击力，降低运动损伤风险，同时提升跑道的耐用性和美观度。</w:t>
            </w:r>
          </w:p>
          <w:p>
            <w:pPr>
              <w:pStyle w:val="null3"/>
            </w:pPr>
            <w:r>
              <w:rPr>
                <w:rFonts w:ascii="仿宋_GB2312" w:hAnsi="仿宋_GB2312" w:cs="仿宋_GB2312" w:eastAsia="仿宋_GB2312"/>
              </w:rPr>
              <w:t>（</w:t>
            </w:r>
            <w:r>
              <w:rPr>
                <w:rFonts w:ascii="仿宋_GB2312" w:hAnsi="仿宋_GB2312" w:cs="仿宋_GB2312" w:eastAsia="仿宋_GB2312"/>
              </w:rPr>
              <w:t>2）对足球场铺设人造草坪地面，结合基层清理和局部下沉找平处理，能为学生提供仿真度高、平可延长场地的使用寿命，保障足球等体育活动的顺利开展。</w:t>
            </w:r>
          </w:p>
          <w:p>
            <w:pPr>
              <w:pStyle w:val="null3"/>
            </w:pPr>
            <w:r>
              <w:rPr>
                <w:rFonts w:ascii="仿宋_GB2312" w:hAnsi="仿宋_GB2312" w:cs="仿宋_GB2312" w:eastAsia="仿宋_GB2312"/>
              </w:rPr>
              <w:t>2、教学楼维修及实施目的</w:t>
            </w:r>
          </w:p>
          <w:p>
            <w:pPr>
              <w:pStyle w:val="null3"/>
            </w:pPr>
            <w:r>
              <w:rPr>
                <w:rFonts w:ascii="仿宋_GB2312" w:hAnsi="仿宋_GB2312" w:cs="仿宋_GB2312" w:eastAsia="仿宋_GB2312"/>
              </w:rPr>
              <w:t>教学楼是学生学习和生活的重要场所，其设施的完好性与舒适性对教学活动的正常进行至关重要，各具体维修项目的实施目的如下：</w:t>
            </w:r>
          </w:p>
          <w:p>
            <w:pPr>
              <w:pStyle w:val="null3"/>
            </w:pPr>
            <w:r>
              <w:rPr>
                <w:rFonts w:ascii="仿宋_GB2312" w:hAnsi="仿宋_GB2312" w:cs="仿宋_GB2312" w:eastAsia="仿宋_GB2312"/>
              </w:rPr>
              <w:t>（</w:t>
            </w:r>
            <w:r>
              <w:rPr>
                <w:rFonts w:ascii="仿宋_GB2312" w:hAnsi="仿宋_GB2312" w:cs="仿宋_GB2312" w:eastAsia="仿宋_GB2312"/>
              </w:rPr>
              <w:t>1）墙面墙裙维修：修复墙面墙裙的损坏部分，改善教室及教学楼公共区域的墙面外观，营造整洁、美观的学习环境，同时保护墙体结构，延长其使用寿命。</w:t>
            </w:r>
          </w:p>
          <w:p>
            <w:pPr>
              <w:pStyle w:val="null3"/>
            </w:pPr>
            <w:r>
              <w:rPr>
                <w:rFonts w:ascii="仿宋_GB2312" w:hAnsi="仿宋_GB2312" w:cs="仿宋_GB2312" w:eastAsia="仿宋_GB2312"/>
              </w:rPr>
              <w:t>（</w:t>
            </w:r>
            <w:r>
              <w:rPr>
                <w:rFonts w:ascii="仿宋_GB2312" w:hAnsi="仿宋_GB2312" w:cs="仿宋_GB2312" w:eastAsia="仿宋_GB2312"/>
              </w:rPr>
              <w:t>2）教室门维修：拆除原教室门并更换为金属平开门，新门具备特定尺寸和观察窗等设计，既能消除旧门可能存在的安全隐患，又能提升教室的安全性和采光性，同时金属材质更耐用，降低后续维修成本。</w:t>
            </w:r>
          </w:p>
          <w:p>
            <w:pPr>
              <w:pStyle w:val="null3"/>
            </w:pPr>
            <w:r>
              <w:rPr>
                <w:rFonts w:ascii="仿宋_GB2312" w:hAnsi="仿宋_GB2312" w:cs="仿宋_GB2312" w:eastAsia="仿宋_GB2312"/>
              </w:rPr>
              <w:t>（</w:t>
            </w:r>
            <w:r>
              <w:rPr>
                <w:rFonts w:ascii="仿宋_GB2312" w:hAnsi="仿宋_GB2312" w:cs="仿宋_GB2312" w:eastAsia="仿宋_GB2312"/>
              </w:rPr>
              <w:t>3）卫生间维修：对卫生间进行全面检修与改造，包括拆除原吊顶并更换新的天棚吊顶、检修或更换洗手池、水龙头、上下水软管、小便池五金配件，维修地面瓷砖及更换隔断等。这些措施可解决卫生间设施老化、损坏问题，提升卫生条件，保障学生和教职工的使用安全与舒适，改善卫生间的整体环境。</w:t>
            </w:r>
          </w:p>
          <w:p>
            <w:pPr>
              <w:pStyle w:val="null3"/>
            </w:pPr>
            <w:r>
              <w:rPr>
                <w:rFonts w:ascii="仿宋_GB2312" w:hAnsi="仿宋_GB2312" w:cs="仿宋_GB2312" w:eastAsia="仿宋_GB2312"/>
              </w:rPr>
              <w:t>（</w:t>
            </w:r>
            <w:r>
              <w:rPr>
                <w:rFonts w:ascii="仿宋_GB2312" w:hAnsi="仿宋_GB2312" w:cs="仿宋_GB2312" w:eastAsia="仿宋_GB2312"/>
              </w:rPr>
              <w:t>4）门厅入口改造：通过拆除内部窗户、改造台阶、拆除墙柱面装饰，更换为断桥铝合金窗和金属平开门，以及安装新的天棚吊顶等，可优化门厅入口的采光、通风条件，提升入口区域的美观度和功能性，同时改善入口处的通行便利性。</w:t>
            </w:r>
          </w:p>
          <w:p>
            <w:pPr>
              <w:pStyle w:val="null3"/>
            </w:pPr>
            <w:r>
              <w:rPr>
                <w:rFonts w:ascii="仿宋_GB2312" w:hAnsi="仿宋_GB2312" w:cs="仿宋_GB2312" w:eastAsia="仿宋_GB2312"/>
              </w:rPr>
              <w:t>（</w:t>
            </w:r>
            <w:r>
              <w:rPr>
                <w:rFonts w:ascii="仿宋_GB2312" w:hAnsi="仿宋_GB2312" w:cs="仿宋_GB2312" w:eastAsia="仿宋_GB2312"/>
              </w:rPr>
              <w:t>5）阅览室改造：对阅览室的天棚吊顶进行改造，安装窗户改造及玻璃背景书架，设置墙面冲孔洞板和包柱，以及安装阅读桌椅等，优化阅览室的空间布局，提升采光和美观度，为学生创造更舒适、便捷的阅读和学习环境，满足学生的阅读需求。</w:t>
            </w:r>
          </w:p>
          <w:p>
            <w:pPr>
              <w:pStyle w:val="null3"/>
            </w:pPr>
            <w:r>
              <w:rPr>
                <w:rFonts w:ascii="仿宋_GB2312" w:hAnsi="仿宋_GB2312" w:cs="仿宋_GB2312" w:eastAsia="仿宋_GB2312"/>
              </w:rPr>
              <w:t>三、付款进度要求：</w:t>
            </w:r>
          </w:p>
          <w:p>
            <w:pPr>
              <w:pStyle w:val="null3"/>
            </w:pPr>
            <w:r>
              <w:rPr>
                <w:rFonts w:ascii="仿宋_GB2312" w:hAnsi="仿宋_GB2312" w:cs="仿宋_GB2312" w:eastAsia="仿宋_GB2312"/>
              </w:rPr>
              <w:t>1、材料设备进场、工程施工、竣工验收（工期）：合同签订后25日历天。</w:t>
            </w:r>
          </w:p>
          <w:p>
            <w:pPr>
              <w:pStyle w:val="null3"/>
            </w:pPr>
            <w:r>
              <w:rPr>
                <w:rFonts w:ascii="仿宋_GB2312" w:hAnsi="仿宋_GB2312" w:cs="仿宋_GB2312" w:eastAsia="仿宋_GB2312"/>
              </w:rPr>
              <w:t>2、合同款的支付：</w:t>
            </w:r>
          </w:p>
          <w:p>
            <w:pPr>
              <w:pStyle w:val="null3"/>
            </w:pPr>
            <w:r>
              <w:rPr>
                <w:rFonts w:ascii="仿宋_GB2312" w:hAnsi="仿宋_GB2312" w:cs="仿宋_GB2312" w:eastAsia="仿宋_GB2312"/>
              </w:rPr>
              <w:t>（</w:t>
            </w:r>
            <w:r>
              <w:rPr>
                <w:rFonts w:ascii="仿宋_GB2312" w:hAnsi="仿宋_GB2312" w:cs="仿宋_GB2312" w:eastAsia="仿宋_GB2312"/>
              </w:rPr>
              <w:t>1）支付方式：一次付清。</w:t>
            </w:r>
          </w:p>
          <w:p>
            <w:pPr>
              <w:pStyle w:val="null3"/>
            </w:pPr>
            <w:r>
              <w:rPr>
                <w:rFonts w:ascii="仿宋_GB2312" w:hAnsi="仿宋_GB2312" w:cs="仿宋_GB2312" w:eastAsia="仿宋_GB2312"/>
              </w:rPr>
              <w:t>（</w:t>
            </w:r>
            <w:r>
              <w:rPr>
                <w:rFonts w:ascii="仿宋_GB2312" w:hAnsi="仿宋_GB2312" w:cs="仿宋_GB2312" w:eastAsia="仿宋_GB2312"/>
              </w:rPr>
              <w:t>2）付款条件说明: 所有服务内容完成及验收合格，经审计部门审定后 ,达到付款条件起 7 日内，支付合同总金额的 100.00%。</w:t>
            </w:r>
          </w:p>
          <w:p>
            <w:pPr>
              <w:pStyle w:val="null3"/>
            </w:pPr>
            <w:r>
              <w:rPr>
                <w:rFonts w:ascii="仿宋_GB2312" w:hAnsi="仿宋_GB2312" w:cs="仿宋_GB2312" w:eastAsia="仿宋_GB2312"/>
              </w:rPr>
              <w:t>四、质量要求、工程质量保修期、服务要求：</w:t>
            </w:r>
          </w:p>
          <w:p>
            <w:pPr>
              <w:pStyle w:val="null3"/>
            </w:pPr>
            <w:r>
              <w:rPr>
                <w:rFonts w:ascii="仿宋_GB2312" w:hAnsi="仿宋_GB2312" w:cs="仿宋_GB2312" w:eastAsia="仿宋_GB2312"/>
              </w:rPr>
              <w:t>1、质量要求</w:t>
            </w:r>
          </w:p>
          <w:p>
            <w:pPr>
              <w:pStyle w:val="null3"/>
            </w:pPr>
            <w:r>
              <w:rPr>
                <w:rFonts w:ascii="仿宋_GB2312" w:hAnsi="仿宋_GB2312" w:cs="仿宋_GB2312" w:eastAsia="仿宋_GB2312"/>
              </w:rPr>
              <w:t>（</w:t>
            </w:r>
            <w:r>
              <w:rPr>
                <w:rFonts w:ascii="仿宋_GB2312" w:hAnsi="仿宋_GB2312" w:cs="仿宋_GB2312" w:eastAsia="仿宋_GB2312"/>
              </w:rPr>
              <w:t>1）工程质量应当达到约定的质量标准，质量标准的评定以国家或行业的质量检验评定标准为依据。</w:t>
            </w:r>
          </w:p>
          <w:p>
            <w:pPr>
              <w:pStyle w:val="null3"/>
            </w:pPr>
            <w:r>
              <w:rPr>
                <w:rFonts w:ascii="仿宋_GB2312" w:hAnsi="仿宋_GB2312" w:cs="仿宋_GB2312" w:eastAsia="仿宋_GB2312"/>
              </w:rPr>
              <w:t>（</w:t>
            </w:r>
            <w:r>
              <w:rPr>
                <w:rFonts w:ascii="仿宋_GB2312" w:hAnsi="仿宋_GB2312" w:cs="仿宋_GB2312" w:eastAsia="仿宋_GB2312"/>
              </w:rPr>
              <w:t>2）因承包人原因工程质量达不到约定的质量标准，承包人承担违约责任。</w:t>
            </w:r>
          </w:p>
          <w:p>
            <w:pPr>
              <w:pStyle w:val="null3"/>
            </w:pPr>
            <w:r>
              <w:rPr>
                <w:rFonts w:ascii="仿宋_GB2312" w:hAnsi="仿宋_GB2312" w:cs="仿宋_GB2312" w:eastAsia="仿宋_GB2312"/>
              </w:rPr>
              <w:t>2、工程质量保修期</w:t>
            </w:r>
          </w:p>
          <w:p>
            <w:pPr>
              <w:pStyle w:val="null3"/>
            </w:pPr>
            <w:r>
              <w:rPr>
                <w:rFonts w:ascii="仿宋_GB2312" w:hAnsi="仿宋_GB2312" w:cs="仿宋_GB2312" w:eastAsia="仿宋_GB2312"/>
              </w:rPr>
              <w:t>（</w:t>
            </w:r>
            <w:r>
              <w:rPr>
                <w:rFonts w:ascii="仿宋_GB2312" w:hAnsi="仿宋_GB2312" w:cs="仿宋_GB2312" w:eastAsia="仿宋_GB2312"/>
              </w:rPr>
              <w:t>1）1年。</w:t>
            </w:r>
          </w:p>
          <w:p>
            <w:pPr>
              <w:pStyle w:val="null3"/>
            </w:pPr>
            <w:r>
              <w:rPr>
                <w:rFonts w:ascii="仿宋_GB2312" w:hAnsi="仿宋_GB2312" w:cs="仿宋_GB2312" w:eastAsia="仿宋_GB2312"/>
              </w:rPr>
              <w:t>（</w:t>
            </w:r>
            <w:r>
              <w:rPr>
                <w:rFonts w:ascii="仿宋_GB2312" w:hAnsi="仿宋_GB2312" w:cs="仿宋_GB2312" w:eastAsia="仿宋_GB2312"/>
              </w:rPr>
              <w:t>2）质保期内应无偿负责所承包工程的维修和替换等工作。超出质保期收取人工及材料成本费用。</w:t>
            </w:r>
          </w:p>
          <w:p>
            <w:pPr>
              <w:pStyle w:val="null3"/>
            </w:pPr>
            <w:r>
              <w:rPr>
                <w:rFonts w:ascii="仿宋_GB2312" w:hAnsi="仿宋_GB2312" w:cs="仿宋_GB2312" w:eastAsia="仿宋_GB2312"/>
              </w:rPr>
              <w:t>3、服务要求</w:t>
            </w:r>
          </w:p>
          <w:p>
            <w:pPr>
              <w:pStyle w:val="null3"/>
            </w:pPr>
            <w:r>
              <w:rPr>
                <w:rFonts w:ascii="仿宋_GB2312" w:hAnsi="仿宋_GB2312" w:cs="仿宋_GB2312" w:eastAsia="仿宋_GB2312"/>
              </w:rPr>
              <w:t>（</w:t>
            </w:r>
            <w:r>
              <w:rPr>
                <w:rFonts w:ascii="仿宋_GB2312" w:hAnsi="仿宋_GB2312" w:cs="仿宋_GB2312" w:eastAsia="仿宋_GB2312"/>
              </w:rPr>
              <w:t>1）服务响应时限：7*24小时服务，提供售后服务电话（应具有：固定电话、移动电话、传真）。</w:t>
            </w:r>
          </w:p>
          <w:p>
            <w:pPr>
              <w:pStyle w:val="null3"/>
            </w:pPr>
            <w:r>
              <w:rPr>
                <w:rFonts w:ascii="仿宋_GB2312" w:hAnsi="仿宋_GB2312" w:cs="仿宋_GB2312" w:eastAsia="仿宋_GB2312"/>
              </w:rPr>
              <w:t>（</w:t>
            </w:r>
            <w:r>
              <w:rPr>
                <w:rFonts w:ascii="仿宋_GB2312" w:hAnsi="仿宋_GB2312" w:cs="仿宋_GB2312" w:eastAsia="仿宋_GB2312"/>
              </w:rPr>
              <w:t>2）派专人对学校提供售后服务，并每月定期对合同范围内的装饰装修工程进行巡检，做好巡检记录。</w:t>
            </w:r>
          </w:p>
          <w:p>
            <w:pPr>
              <w:pStyle w:val="null3"/>
            </w:pPr>
            <w:r>
              <w:rPr>
                <w:rFonts w:ascii="仿宋_GB2312" w:hAnsi="仿宋_GB2312" w:cs="仿宋_GB2312" w:eastAsia="仿宋_GB2312"/>
              </w:rPr>
              <w:t>（</w:t>
            </w:r>
            <w:r>
              <w:rPr>
                <w:rFonts w:ascii="仿宋_GB2312" w:hAnsi="仿宋_GB2312" w:cs="仿宋_GB2312" w:eastAsia="仿宋_GB2312"/>
              </w:rPr>
              <w:t>3）维修工作时间不大于24小时，更换工作时间不大于72小时。</w:t>
            </w:r>
          </w:p>
          <w:p>
            <w:pPr>
              <w:pStyle w:val="null3"/>
            </w:pPr>
            <w:r>
              <w:rPr>
                <w:rFonts w:ascii="仿宋_GB2312" w:hAnsi="仿宋_GB2312" w:cs="仿宋_GB2312" w:eastAsia="仿宋_GB2312"/>
              </w:rPr>
              <w:t>（</w:t>
            </w:r>
            <w:r>
              <w:rPr>
                <w:rFonts w:ascii="仿宋_GB2312" w:hAnsi="仿宋_GB2312" w:cs="仿宋_GB2312" w:eastAsia="仿宋_GB2312"/>
              </w:rPr>
              <w:t>4）若乙方未按照合同规定的服务要求执行，甲方有权自行选择第三方进行维护和修理，所产生的费用将从质保金中扣除。</w:t>
            </w:r>
          </w:p>
          <w:p>
            <w:pPr>
              <w:pStyle w:val="null3"/>
            </w:pPr>
            <w:r>
              <w:rPr>
                <w:rFonts w:ascii="仿宋_GB2312" w:hAnsi="仿宋_GB2312" w:cs="仿宋_GB2312" w:eastAsia="仿宋_GB2312"/>
              </w:rPr>
              <w:t>五、承包人的职责要求：</w:t>
            </w:r>
          </w:p>
          <w:p>
            <w:pPr>
              <w:pStyle w:val="null3"/>
            </w:pPr>
            <w:r>
              <w:rPr>
                <w:rFonts w:ascii="仿宋_GB2312" w:hAnsi="仿宋_GB2312" w:cs="仿宋_GB2312" w:eastAsia="仿宋_GB2312"/>
              </w:rPr>
              <w:t>1、代表发包人全过程协调内、外部关系，处理往来文件，对工程进度、质量、费用、安全生产、创卫等方面工作进行监督管理。</w:t>
            </w:r>
          </w:p>
          <w:p>
            <w:pPr>
              <w:pStyle w:val="null3"/>
            </w:pPr>
            <w:r>
              <w:rPr>
                <w:rFonts w:ascii="仿宋_GB2312" w:hAnsi="仿宋_GB2312" w:cs="仿宋_GB2312" w:eastAsia="仿宋_GB2312"/>
              </w:rPr>
              <w:t>2、承包人全权负责现场的施工安全、保卫、夜间照明、围栏设施及场内外接口交通疏导，按照施工现场临时用电安全技术规范和现场供用电安全规范组织施工，搞好施工现场管理，如未尽到安全、管理责任，发包人可对该违约行为进行处罚。</w:t>
            </w:r>
          </w:p>
          <w:p>
            <w:pPr>
              <w:pStyle w:val="null3"/>
            </w:pPr>
            <w:r>
              <w:rPr>
                <w:rFonts w:ascii="仿宋_GB2312" w:hAnsi="仿宋_GB2312" w:cs="仿宋_GB2312" w:eastAsia="仿宋_GB2312"/>
              </w:rPr>
              <w:t>3、开工后2日内提交经修改后的施工组织设计和施工总进度计划。</w:t>
            </w:r>
          </w:p>
          <w:p>
            <w:pPr>
              <w:pStyle w:val="null3"/>
            </w:pPr>
            <w:r>
              <w:rPr>
                <w:rFonts w:ascii="仿宋_GB2312" w:hAnsi="仿宋_GB2312" w:cs="仿宋_GB2312" w:eastAsia="仿宋_GB2312"/>
              </w:rPr>
              <w:t>六、验收要求：</w:t>
            </w:r>
          </w:p>
          <w:p>
            <w:pPr>
              <w:pStyle w:val="null3"/>
            </w:pPr>
            <w:r>
              <w:rPr>
                <w:rFonts w:ascii="仿宋_GB2312" w:hAnsi="仿宋_GB2312" w:cs="仿宋_GB2312" w:eastAsia="仿宋_GB2312"/>
              </w:rPr>
              <w:t>1、装饰装修工程验收、隐蔽工程验收达到国家现行施工验收规范“合格”标准。</w:t>
            </w:r>
          </w:p>
          <w:p>
            <w:pPr>
              <w:pStyle w:val="null3"/>
            </w:pPr>
            <w:r>
              <w:rPr>
                <w:rFonts w:ascii="仿宋_GB2312" w:hAnsi="仿宋_GB2312" w:cs="仿宋_GB2312" w:eastAsia="仿宋_GB2312"/>
              </w:rPr>
              <w:t>2、乙方保证响应本项目磋商文件的要求。</w:t>
            </w:r>
          </w:p>
          <w:p>
            <w:pPr>
              <w:pStyle w:val="null3"/>
            </w:pPr>
            <w:r>
              <w:rPr>
                <w:rFonts w:ascii="仿宋_GB2312" w:hAnsi="仿宋_GB2312" w:cs="仿宋_GB2312" w:eastAsia="仿宋_GB2312"/>
              </w:rPr>
              <w:t>3、工程施工完成，乙方进行自检验收，出现的问题限期整改。自检最终通过后，乙方提出最终验收申请，甲方组织相关人员进行最终验收。</w:t>
            </w:r>
          </w:p>
          <w:p>
            <w:pPr>
              <w:pStyle w:val="null3"/>
            </w:pPr>
            <w:r>
              <w:rPr>
                <w:rFonts w:ascii="仿宋_GB2312" w:hAnsi="仿宋_GB2312" w:cs="仿宋_GB2312" w:eastAsia="仿宋_GB2312"/>
              </w:rPr>
              <w:t>4、项目从通过最终验收之日起进入保修期。</w:t>
            </w:r>
          </w:p>
          <w:p>
            <w:pPr>
              <w:pStyle w:val="null3"/>
            </w:pPr>
            <w:r>
              <w:rPr>
                <w:rFonts w:ascii="仿宋_GB2312" w:hAnsi="仿宋_GB2312" w:cs="仿宋_GB2312" w:eastAsia="仿宋_GB2312"/>
              </w:rPr>
              <w:t>七、特殊要求：</w:t>
            </w:r>
          </w:p>
          <w:p>
            <w:pPr>
              <w:pStyle w:val="null3"/>
            </w:pPr>
            <w:r>
              <w:rPr>
                <w:rFonts w:ascii="仿宋_GB2312" w:hAnsi="仿宋_GB2312" w:cs="仿宋_GB2312" w:eastAsia="仿宋_GB2312"/>
              </w:rPr>
              <w:t>必须按照磋商文件、合同及甲方现场工作人员的要求，实施施工。</w:t>
            </w:r>
          </w:p>
          <w:p>
            <w:pPr>
              <w:pStyle w:val="null3"/>
            </w:pPr>
            <w:r>
              <w:rPr>
                <w:rFonts w:ascii="仿宋_GB2312" w:hAnsi="仿宋_GB2312" w:cs="仿宋_GB2312" w:eastAsia="仿宋_GB2312"/>
              </w:rPr>
              <w:t>八、争议解决</w:t>
            </w:r>
          </w:p>
          <w:p>
            <w:pPr>
              <w:pStyle w:val="null3"/>
            </w:pPr>
            <w:r>
              <w:rPr>
                <w:rFonts w:ascii="仿宋_GB2312" w:hAnsi="仿宋_GB2312" w:cs="仿宋_GB2312" w:eastAsia="仿宋_GB2312"/>
              </w:rPr>
              <w:t>1、甲乙双方就合同条款的解释或执行以及与项目密切相关的事项发生争议，应在7个工作日内友好协商解决，协商不成，诉讼至人民法院解决。</w:t>
            </w:r>
          </w:p>
          <w:p>
            <w:pPr>
              <w:pStyle w:val="null3"/>
            </w:pPr>
            <w:r>
              <w:rPr>
                <w:rFonts w:ascii="仿宋_GB2312" w:hAnsi="仿宋_GB2312" w:cs="仿宋_GB2312" w:eastAsia="仿宋_GB2312"/>
              </w:rPr>
              <w:t>2、因质量问题发生的争议，由国家权威技术单位进行质量鉴定，该鉴定结论是终局的，甲乙双方应当接受。</w:t>
            </w:r>
          </w:p>
          <w:p>
            <w:pPr>
              <w:pStyle w:val="null3"/>
            </w:pPr>
            <w:r>
              <w:rPr>
                <w:rFonts w:ascii="仿宋_GB2312" w:hAnsi="仿宋_GB2312" w:cs="仿宋_GB2312" w:eastAsia="仿宋_GB2312"/>
              </w:rPr>
              <w:t>九、合同价款要求：</w:t>
            </w:r>
          </w:p>
          <w:p>
            <w:pPr>
              <w:pStyle w:val="null3"/>
            </w:pPr>
            <w:r>
              <w:rPr>
                <w:rFonts w:ascii="仿宋_GB2312" w:hAnsi="仿宋_GB2312" w:cs="仿宋_GB2312" w:eastAsia="仿宋_GB2312"/>
              </w:rPr>
              <w:t>1、合同价款按照成交确定的价格和合同中明确的工程范围，在工程实施过程中一次性包死。除此之外的工程范围和工程量的变动部分在征得甲方同意后实行现场签证，依照投标报价增加或扣减。</w:t>
            </w:r>
          </w:p>
          <w:p>
            <w:pPr>
              <w:pStyle w:val="null3"/>
            </w:pPr>
            <w:r>
              <w:rPr>
                <w:rFonts w:ascii="仿宋_GB2312" w:hAnsi="仿宋_GB2312" w:cs="仿宋_GB2312" w:eastAsia="仿宋_GB2312"/>
              </w:rPr>
              <w:t>2、风险费用的计算方法：应由承包人承担的风险（政策性调价、人工、材料、机械费的上涨）费用已由承包人根据自身经验、实力及工程实际情况做了充分估计并已计入合同价款中，风险费用未单独计列的，应认为已经包含在合同价款之中。</w:t>
            </w:r>
          </w:p>
          <w:p>
            <w:pPr>
              <w:pStyle w:val="null3"/>
            </w:pPr>
            <w:r>
              <w:rPr>
                <w:rFonts w:ascii="仿宋_GB2312" w:hAnsi="仿宋_GB2312" w:cs="仿宋_GB2312" w:eastAsia="仿宋_GB2312"/>
              </w:rPr>
              <w:t>3、响应总报价为供应商充分考虑竞争性磋商文件的各项条款和所掌握的市场情况及本工程的实际，根据自身的情况自主报价，尤其是要充分考虑为达到本工程工期要求所发生的赶工措施费以及应采取相应措施的费用。</w:t>
            </w:r>
          </w:p>
          <w:p>
            <w:pPr>
              <w:pStyle w:val="null3"/>
            </w:pPr>
            <w:r>
              <w:rPr>
                <w:rFonts w:ascii="仿宋_GB2312" w:hAnsi="仿宋_GB2312" w:cs="仿宋_GB2312" w:eastAsia="仿宋_GB2312"/>
              </w:rPr>
              <w:t>4、供应商的响应报价应包括完成该工程项目的成本：人工费、材料费、措施费、机械费、税金、利润、风险费等所有费用(交钥匙固定总价工程)。</w:t>
            </w:r>
          </w:p>
          <w:p>
            <w:pPr>
              <w:pStyle w:val="null3"/>
            </w:pPr>
            <w:r>
              <w:rPr>
                <w:rFonts w:ascii="仿宋_GB2312" w:hAnsi="仿宋_GB2312" w:cs="仿宋_GB2312" w:eastAsia="仿宋_GB2312"/>
              </w:rPr>
              <w:t>5、响应报价还应考虑与建筑主体施工单位、施工场内其他专业施工单位的配合因素自主编制，配合费用计入响应总报价。</w:t>
            </w:r>
          </w:p>
          <w:p>
            <w:pPr>
              <w:pStyle w:val="null3"/>
            </w:pPr>
            <w:r>
              <w:rPr>
                <w:rFonts w:ascii="仿宋_GB2312" w:hAnsi="仿宋_GB2312" w:cs="仿宋_GB2312" w:eastAsia="仿宋_GB2312"/>
              </w:rPr>
              <w:t>6、供应商响应报价中无论磋商文件工程量是否明确，建设单位将不另行增加施工范围内工程的相关费用。</w:t>
            </w:r>
          </w:p>
          <w:p>
            <w:pPr>
              <w:pStyle w:val="null3"/>
            </w:pPr>
            <w:r>
              <w:rPr>
                <w:rFonts w:ascii="仿宋_GB2312" w:hAnsi="仿宋_GB2312" w:cs="仿宋_GB2312" w:eastAsia="仿宋_GB2312"/>
              </w:rPr>
              <w:t>7、供应商装备险和供应商职工的（人身）事故险由承包人投保，其保险费由供应商承担并支付，并包含在所报的单价或合价中，不得单独报价。</w:t>
            </w:r>
          </w:p>
          <w:p>
            <w:pPr>
              <w:pStyle w:val="null3"/>
            </w:pPr>
            <w:r>
              <w:rPr>
                <w:rFonts w:ascii="仿宋_GB2312" w:hAnsi="仿宋_GB2312" w:cs="仿宋_GB2312" w:eastAsia="仿宋_GB2312"/>
              </w:rPr>
              <w:t>8、供应商因承包本合同工程所缴纳的一切税费均由供应商承担，并包含在所报的单价或合价内。</w:t>
            </w:r>
          </w:p>
          <w:p>
            <w:pPr>
              <w:pStyle w:val="null3"/>
            </w:pPr>
            <w:r>
              <w:rPr>
                <w:rFonts w:ascii="仿宋_GB2312" w:hAnsi="仿宋_GB2312" w:cs="仿宋_GB2312" w:eastAsia="仿宋_GB2312"/>
              </w:rPr>
              <w:t>9、各供应商应充分考虑磋商文件的各项条款，结合本工程的实际，根据自身的情况自主报价。</w:t>
            </w:r>
          </w:p>
          <w:p>
            <w:pPr>
              <w:pStyle w:val="null3"/>
            </w:pPr>
            <w:r>
              <w:rPr>
                <w:rFonts w:ascii="仿宋_GB2312" w:hAnsi="仿宋_GB2312" w:cs="仿宋_GB2312" w:eastAsia="仿宋_GB2312"/>
              </w:rPr>
              <w:t>10、凡因供应商对磋商文件阅读不深、理解不透、误解、疏漏、或因市场行情了解不清造成的后果和风险均由供应商自负。</w:t>
            </w:r>
          </w:p>
          <w:p>
            <w:pPr>
              <w:pStyle w:val="null3"/>
            </w:pPr>
            <w:r>
              <w:rPr>
                <w:rFonts w:ascii="仿宋_GB2312" w:hAnsi="仿宋_GB2312" w:cs="仿宋_GB2312" w:eastAsia="仿宋_GB2312"/>
              </w:rPr>
              <w:t>11、最低报价不是中标的唯一依据。</w:t>
            </w:r>
          </w:p>
          <w:p>
            <w:pPr>
              <w:pStyle w:val="null3"/>
            </w:pPr>
            <w:r>
              <w:rPr>
                <w:rFonts w:ascii="仿宋_GB2312" w:hAnsi="仿宋_GB2312" w:cs="仿宋_GB2312" w:eastAsia="仿宋_GB2312"/>
              </w:rPr>
              <w:t>12、响应货币：人民币。单位：元，精确到小数点后两位。</w:t>
            </w:r>
          </w:p>
          <w:p>
            <w:pPr>
              <w:pStyle w:val="null3"/>
            </w:pPr>
            <w:r>
              <w:rPr>
                <w:rFonts w:ascii="仿宋_GB2312" w:hAnsi="仿宋_GB2312" w:cs="仿宋_GB2312" w:eastAsia="仿宋_GB2312"/>
              </w:rPr>
              <w:t>十、主要规范、规程：</w:t>
            </w:r>
          </w:p>
          <w:p>
            <w:pPr>
              <w:pStyle w:val="null3"/>
            </w:pPr>
            <w:r>
              <w:rPr>
                <w:rFonts w:ascii="仿宋_GB2312" w:hAnsi="仿宋_GB2312" w:cs="仿宋_GB2312" w:eastAsia="仿宋_GB2312"/>
              </w:rPr>
              <w:t>1、《建筑内部装修设计防火规范》（GB50222-2017）</w:t>
            </w:r>
          </w:p>
          <w:p>
            <w:pPr>
              <w:pStyle w:val="null3"/>
            </w:pPr>
            <w:r>
              <w:rPr>
                <w:rFonts w:ascii="仿宋_GB2312" w:hAnsi="仿宋_GB2312" w:cs="仿宋_GB2312" w:eastAsia="仿宋_GB2312"/>
              </w:rPr>
              <w:t>2、《建筑设计防火规范》（GB50016-2014）</w:t>
            </w:r>
          </w:p>
          <w:p>
            <w:pPr>
              <w:pStyle w:val="null3"/>
            </w:pPr>
            <w:r>
              <w:rPr>
                <w:rFonts w:ascii="仿宋_GB2312" w:hAnsi="仿宋_GB2312" w:cs="仿宋_GB2312" w:eastAsia="仿宋_GB2312"/>
              </w:rPr>
              <w:t>3、《建筑地面工程施工质量验收规范》（GB50209-2010）</w:t>
            </w:r>
          </w:p>
          <w:p>
            <w:pPr>
              <w:pStyle w:val="null3"/>
            </w:pPr>
            <w:r>
              <w:rPr>
                <w:rFonts w:ascii="仿宋_GB2312" w:hAnsi="仿宋_GB2312" w:cs="仿宋_GB2312" w:eastAsia="仿宋_GB2312"/>
              </w:rPr>
              <w:t>4、《建筑电气安装工程施工质量验收规范》（GB50303-2015）</w:t>
            </w:r>
          </w:p>
          <w:p>
            <w:pPr>
              <w:pStyle w:val="null3"/>
            </w:pPr>
            <w:r>
              <w:rPr>
                <w:rFonts w:ascii="仿宋_GB2312" w:hAnsi="仿宋_GB2312" w:cs="仿宋_GB2312" w:eastAsia="仿宋_GB2312"/>
              </w:rPr>
              <w:t>5、《建筑照明设计标准》（GB 50034-2013）</w:t>
            </w:r>
          </w:p>
          <w:p>
            <w:pPr>
              <w:pStyle w:val="null3"/>
            </w:pPr>
            <w:r>
              <w:rPr>
                <w:rFonts w:ascii="仿宋_GB2312" w:hAnsi="仿宋_GB2312" w:cs="仿宋_GB2312" w:eastAsia="仿宋_GB2312"/>
              </w:rPr>
              <w:t>6、《民用建筑电气设计规范》（JGJ 16-2008）</w:t>
            </w:r>
          </w:p>
          <w:p>
            <w:pPr>
              <w:pStyle w:val="null3"/>
            </w:pPr>
            <w:r>
              <w:rPr>
                <w:rFonts w:ascii="仿宋_GB2312" w:hAnsi="仿宋_GB2312" w:cs="仿宋_GB2312" w:eastAsia="仿宋_GB2312"/>
              </w:rPr>
              <w:t>7、《民用建筑工程室内环境污染控制规范》（GB50325-2020）</w:t>
            </w:r>
          </w:p>
          <w:p>
            <w:pPr>
              <w:pStyle w:val="null3"/>
            </w:pPr>
            <w:r>
              <w:rPr>
                <w:rFonts w:ascii="仿宋_GB2312" w:hAnsi="仿宋_GB2312" w:cs="仿宋_GB2312" w:eastAsia="仿宋_GB2312"/>
              </w:rPr>
              <w:t>8、《施工现场临时用电安全技术规范》（JGJ46-2005）</w:t>
            </w:r>
          </w:p>
          <w:p>
            <w:pPr>
              <w:pStyle w:val="null3"/>
            </w:pPr>
            <w:r>
              <w:rPr>
                <w:rFonts w:ascii="仿宋_GB2312" w:hAnsi="仿宋_GB2312" w:cs="仿宋_GB2312" w:eastAsia="仿宋_GB2312"/>
              </w:rPr>
              <w:t>9、《室内装饰装修材料-人造板及其制品甲醛释放限量》（GB/18580-2017）</w:t>
            </w:r>
          </w:p>
          <w:p>
            <w:pPr>
              <w:pStyle w:val="null3"/>
            </w:pPr>
            <w:r>
              <w:rPr>
                <w:rFonts w:ascii="仿宋_GB2312" w:hAnsi="仿宋_GB2312" w:cs="仿宋_GB2312" w:eastAsia="仿宋_GB2312"/>
              </w:rPr>
              <w:t>10、《建筑用墙面涂料中有害物质限量》（GB 18582-2020）</w:t>
            </w:r>
          </w:p>
          <w:p>
            <w:pPr>
              <w:pStyle w:val="null3"/>
            </w:pPr>
            <w:r>
              <w:rPr>
                <w:rFonts w:ascii="仿宋_GB2312" w:hAnsi="仿宋_GB2312" w:cs="仿宋_GB2312" w:eastAsia="仿宋_GB2312"/>
              </w:rPr>
              <w:t>11、《室内装饰装修材料-胶结剂中有害物质限量》（GB18583-2008）</w:t>
            </w:r>
          </w:p>
          <w:p>
            <w:pPr>
              <w:pStyle w:val="null3"/>
            </w:pPr>
            <w:r>
              <w:rPr>
                <w:rFonts w:ascii="仿宋_GB2312" w:hAnsi="仿宋_GB2312" w:cs="仿宋_GB2312" w:eastAsia="仿宋_GB2312"/>
              </w:rPr>
              <w:t>12、《室内装修材料-聚氯乙烯卷材地板中有毒物质限量》（GB18686-2001）</w:t>
            </w:r>
          </w:p>
          <w:p>
            <w:pPr>
              <w:pStyle w:val="null3"/>
            </w:pPr>
            <w:r>
              <w:rPr>
                <w:rFonts w:ascii="仿宋_GB2312" w:hAnsi="仿宋_GB2312" w:cs="仿宋_GB2312" w:eastAsia="仿宋_GB2312"/>
              </w:rPr>
              <w:t>13、《建筑材料放射性核素限量》（GB6566-2010）</w:t>
            </w:r>
          </w:p>
          <w:p>
            <w:pPr>
              <w:pStyle w:val="null3"/>
            </w:pPr>
            <w:r>
              <w:rPr>
                <w:rFonts w:ascii="仿宋_GB2312" w:hAnsi="仿宋_GB2312" w:cs="仿宋_GB2312" w:eastAsia="仿宋_GB2312"/>
              </w:rPr>
              <w:t>14、《房屋建筑制图统一标准》（GB/T50001-2010）</w:t>
            </w:r>
          </w:p>
          <w:p>
            <w:pPr>
              <w:pStyle w:val="null3"/>
            </w:pPr>
            <w:r>
              <w:rPr>
                <w:rFonts w:ascii="仿宋_GB2312" w:hAnsi="仿宋_GB2312" w:cs="仿宋_GB2312" w:eastAsia="仿宋_GB2312"/>
              </w:rPr>
              <w:t>15、《建筑装饰装修工程质量验收规范》（GB50210-2018）</w:t>
            </w:r>
          </w:p>
          <w:p>
            <w:pPr>
              <w:pStyle w:val="null3"/>
            </w:pPr>
            <w:r>
              <w:rPr>
                <w:rFonts w:ascii="仿宋_GB2312" w:hAnsi="仿宋_GB2312" w:cs="仿宋_GB2312" w:eastAsia="仿宋_GB2312"/>
              </w:rPr>
              <w:t>16、《高级装饰工程质量检验评定标准》（DBJ/T01-27-2003）</w:t>
            </w:r>
          </w:p>
          <w:p>
            <w:pPr>
              <w:pStyle w:val="null3"/>
            </w:pPr>
            <w:r>
              <w:rPr>
                <w:rFonts w:ascii="仿宋_GB2312" w:hAnsi="仿宋_GB2312" w:cs="仿宋_GB2312" w:eastAsia="仿宋_GB2312"/>
              </w:rPr>
              <w:t>17、《建筑工程施工质量验收统一标准》（GB50300—2013）</w:t>
            </w:r>
          </w:p>
          <w:p>
            <w:pPr>
              <w:pStyle w:val="null3"/>
            </w:pPr>
            <w:r>
              <w:rPr>
                <w:rFonts w:ascii="仿宋_GB2312" w:hAnsi="仿宋_GB2312" w:cs="仿宋_GB2312" w:eastAsia="仿宋_GB2312"/>
              </w:rPr>
              <w:t>18、《建设工程质量管理条例》（中华人民共和国国务院令第279号）</w:t>
            </w:r>
          </w:p>
          <w:p>
            <w:pPr>
              <w:pStyle w:val="null3"/>
            </w:pPr>
            <w:r>
              <w:rPr>
                <w:rFonts w:ascii="仿宋_GB2312" w:hAnsi="仿宋_GB2312" w:cs="仿宋_GB2312" w:eastAsia="仿宋_GB2312"/>
              </w:rPr>
              <w:t>19、《建筑施工扣件式钢管脚手架安全技术规范》（JGJ130-2011）</w:t>
            </w:r>
          </w:p>
          <w:p>
            <w:pPr>
              <w:pStyle w:val="null3"/>
            </w:pPr>
            <w:r>
              <w:rPr>
                <w:rFonts w:ascii="仿宋_GB2312" w:hAnsi="仿宋_GB2312" w:cs="仿宋_GB2312" w:eastAsia="仿宋_GB2312"/>
              </w:rPr>
              <w:t>20、《建筑施工木脚手架安全技术规范》（JGJ164-2008）</w:t>
            </w:r>
          </w:p>
          <w:p>
            <w:pPr>
              <w:pStyle w:val="null3"/>
            </w:pPr>
            <w:r>
              <w:rPr>
                <w:rFonts w:ascii="仿宋_GB2312" w:hAnsi="仿宋_GB2312" w:cs="仿宋_GB2312" w:eastAsia="仿宋_GB2312"/>
              </w:rPr>
              <w:t>21、《建设工程项目管理规范》（GB/T50326-2017）</w:t>
            </w:r>
          </w:p>
          <w:p>
            <w:pPr>
              <w:pStyle w:val="null3"/>
            </w:pPr>
            <w:r>
              <w:rPr>
                <w:rFonts w:ascii="仿宋_GB2312" w:hAnsi="仿宋_GB2312" w:cs="仿宋_GB2312" w:eastAsia="仿宋_GB2312"/>
              </w:rPr>
              <w:t>22、《建设工程文件归档整理规范》（GB/T50328-2014）</w:t>
            </w:r>
          </w:p>
          <w:p>
            <w:pPr>
              <w:pStyle w:val="null3"/>
            </w:pPr>
            <w:r>
              <w:rPr>
                <w:rFonts w:ascii="仿宋_GB2312" w:hAnsi="仿宋_GB2312" w:cs="仿宋_GB2312" w:eastAsia="仿宋_GB2312"/>
              </w:rPr>
              <w:t>23、质量保证体系第三层次文件《GB/T19001-2016-IS09001：2015标准》</w:t>
            </w:r>
          </w:p>
          <w:p>
            <w:pPr>
              <w:pStyle w:val="null3"/>
            </w:pPr>
            <w:r>
              <w:rPr>
                <w:rFonts w:ascii="仿宋_GB2312" w:hAnsi="仿宋_GB2312" w:cs="仿宋_GB2312" w:eastAsia="仿宋_GB2312"/>
              </w:rPr>
              <w:t>24、《中小学合成材料面层运动场地》（GB36246-2018）</w:t>
            </w:r>
          </w:p>
          <w:p>
            <w:pPr>
              <w:pStyle w:val="null3"/>
            </w:pPr>
            <w:r>
              <w:rPr>
                <w:rFonts w:ascii="仿宋_GB2312" w:hAnsi="仿宋_GB2312" w:cs="仿宋_GB2312" w:eastAsia="仿宋_GB2312"/>
              </w:rPr>
              <w:t>十一、工程做法及技术要求：</w:t>
            </w:r>
            <w:r>
              <w:rPr>
                <w:rFonts w:ascii="仿宋_GB2312" w:hAnsi="仿宋_GB2312" w:cs="仿宋_GB2312" w:eastAsia="仿宋_GB2312"/>
              </w:rPr>
              <w:t>详见工程量清单</w:t>
            </w:r>
            <w:r>
              <w:rPr>
                <w:rFonts w:ascii="仿宋_GB2312" w:hAnsi="仿宋_GB2312" w:cs="仿宋_GB2312" w:eastAsia="仿宋_GB231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（1）财政部、国家发展和改革委员会关于印发《节能产品政府采购实施意见》的通知（财库[2004]185号）； （2）财政部、国家环保总局联合印发《关于环境标志产品政府采购实施的意见》(财库[2006]90号)； （3）国务院办公厅关于建立政府强制采购节能产品制度的通知国办发〔2007〕51号； （4）财政部、发展改革委、生态环境部、市场监管总局关于调整优化节能产品、环境标志产品政府采购执行机制的通知（财库〔2019〕9号）； （5）财政部、国务院扶贫办关于运用政府采购政策支持脱贫攻坚的通知（财库〔2019〕27号）； （6）财政部、司法部关于政府采购支持监狱企业发展有关问题的通知(财库〔2014〕68号)； （7）财政部、民政部、中国残疾人联合会关于促进残疾人就业政府采购政策的通知（财库〔2017〕141号）； （8）财政部关于在政府采购活动中查询及使用信用记录有关问题的通知（财库〔2016〕125号）； （9）陕西省财政厅关于印发《陕西省中小企业政府采购信用融资办法》（陕财办采〔2018〕23号）； （10）《政府采购促进中小企业发展管理办法》（财库〔2020〕46号） （11）陕西省财政厅关于进一步加大政府采购支持中小企业力度的通知（陕财办采〔2022〕5号）； （12）陕西省财政厅关于落实政府采购支持中小企业政策有关事项的通知（陕财办采函〔2022〕10号）； （13）《财政部关于进一步加大政府采购支持中小企业力度的通知》（财库〔2022〕19号）； （14）其他需要落实的政府采购政策。 15）为顺利推进政府采购电子化交易平台试点 应用工作，供应商需要在线提交所有通过电子化交易平台实施的政府采购项目的投标文件。供应商中标后，线下提交纸质投标文件正本壹份、副本贰份、电子版壹份（正本扫描件，U盘壹份）。递交地址：陕西省西安市雁塔区科技二路67号启迪中心K座2801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提供基本存款账户信息及2025年4月1日至今其基本存款账户开户银行出具的资信证明，或财政部门认可的政府采购专业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供应商需在项目电子化交易系统中按要求填写《响应函》完成承诺并进行电子签章，并且提供企业关系关联承诺书。</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有效的投标主体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自2025年1月1日至今，已缴纳的任意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供应商提供本单位自2025年1月1日至今，已缴纳的任意一个月的纳税证明或完税证明，依法免税的单位应提供相关证明材料。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 （任选其一）</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提供基本存款账户信息及2025年4月1日至今其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无重大违法记录声明及信用要求</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以及未被“信用中国”网站（www.creditchina.gov.cn）列入“失信被执行人”、“重大税收违法失信主体”，未被“中国政府采购网”（http://www.ccgp.gov.cn/）列入“政府采购严重违法失信行为记录名单”； 注：采购代理机构将在投标截止日当天信用查询阶段通过 〔信用中国（www.creditchina.gov.cn）〕和〔中国政府采购网（www.ccgp.gov.cn）〕网站对供应商的信用情况进行查询。（若查询结果不合格，其信用查询不予通过，响应文件无效）。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履行合同承诺声明</w:t>
            </w:r>
          </w:p>
        </w:tc>
        <w:tc>
          <w:tcPr>
            <w:tcW w:type="dxa" w:w="3322"/>
          </w:tcPr>
          <w:p>
            <w:pPr>
              <w:pStyle w:val="null3"/>
            </w:pPr>
            <w:r>
              <w:rPr>
                <w:rFonts w:ascii="仿宋_GB2312" w:hAnsi="仿宋_GB2312" w:cs="仿宋_GB2312" w:eastAsia="仿宋_GB2312"/>
              </w:rPr>
              <w:t>供应商应出具履行合同所必需的设备和专业技术能力的承诺声明。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法定代表人（负责人）参加磋商的，须提供法定代表人（负责人）身份证明；法定代表人（负责人）授权他人参加磋商的，须提供法定代表人（负责人）授权委托书，且委托代理人须提供2025年4月1日至今供应商予以缴纳的任意一个月社保证明材料。磋商文件中凡是需要法定代表人盖章之处，非法人单位的负责人均参照执行。 法人的分支机构参与投标时，除提供《法定代表人（负责人）授权委托书》外，还须同时提供法人给分支机构出具的授权书。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供应商项目资质要求</w:t>
            </w:r>
          </w:p>
        </w:tc>
        <w:tc>
          <w:tcPr>
            <w:tcW w:type="dxa" w:w="3322"/>
          </w:tcPr>
          <w:p>
            <w:pPr>
              <w:pStyle w:val="null3"/>
            </w:pPr>
            <w:r>
              <w:rPr>
                <w:rFonts w:ascii="仿宋_GB2312" w:hAnsi="仿宋_GB2312" w:cs="仿宋_GB2312" w:eastAsia="仿宋_GB2312"/>
              </w:rPr>
              <w:t>供应商具备建设行政主管部门颁发的建筑工程施工总承包三级及以上资质，并具有有效的安全生产许可证。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拟派项目经理具备建设行政主管部门颁发的建筑工程专业二级及以上注册建造师执业资格，具备有效的安全生产考核合格证书（建安B证），且未担任其它在施建设工程的项目经理（提供无在建工程承诺书）。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供应商资质基本信息及项目经理执业基本信息查询</w:t>
            </w:r>
          </w:p>
        </w:tc>
        <w:tc>
          <w:tcPr>
            <w:tcW w:type="dxa" w:w="3322"/>
          </w:tcPr>
          <w:p>
            <w:pPr>
              <w:pStyle w:val="null3"/>
            </w:pPr>
            <w:r>
              <w:rPr>
                <w:rFonts w:ascii="仿宋_GB2312" w:hAnsi="仿宋_GB2312" w:cs="仿宋_GB2312" w:eastAsia="仿宋_GB2312"/>
              </w:rPr>
              <w:t>供应商资质基本信息及项目经理（注册建造师）执业基本信息应在“陕西建设网（http://js.shaanxi.gov.cn/ ）陕西省建筑市场监管与诚信信息发布平台”可查询。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供应商不得在项目所在地各级建设诚信平台被列为投标受限制的行为人。</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（1）响应文件封面； （2）响应函； （3）法定代表人委托授权书。</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响应文件编制及签署、盖章</w:t>
            </w:r>
          </w:p>
        </w:tc>
        <w:tc>
          <w:tcPr>
            <w:tcW w:type="dxa" w:w="3322"/>
          </w:tcPr>
          <w:p>
            <w:pPr>
              <w:pStyle w:val="null3"/>
            </w:pPr>
            <w:r>
              <w:rPr>
                <w:rFonts w:ascii="仿宋_GB2312" w:hAnsi="仿宋_GB2312" w:cs="仿宋_GB2312" w:eastAsia="仿宋_GB2312"/>
              </w:rPr>
              <w:t>签字、盖章有效，字迹清晰可辨，编写格式符合磋商文件要求，且无遗漏。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 供应商承诺声明函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（3）未超出合同包最高限价。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完全理解并响应磋商文件中技术部分、商务部分、合同条款的实质性要求，且未含有采购人不能接受的附加条件的。</w:t>
            </w:r>
          </w:p>
        </w:tc>
        <w:tc>
          <w:tcPr>
            <w:tcW w:type="dxa" w:w="1661"/>
          </w:tcPr>
          <w:p>
            <w:pPr>
              <w:pStyle w:val="null3"/>
            </w:pPr>
            <w:r>
              <w:rPr>
                <w:rFonts w:ascii="仿宋_GB2312" w:hAnsi="仿宋_GB2312" w:cs="仿宋_GB2312" w:eastAsia="仿宋_GB2312"/>
              </w:rPr>
              <w:t>供应商承诺声明函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1、针对本项目提供的工程质量的技术组织措施科学、合理、可行得7分；措施较科学、较合理、 较可行得4分；措施含糊不清、欠缺可行性得1分，本项未提供不得分。2、符合《中小学合成材料面层运动场地》（GB36246-2018）国家标准要求，并提供操场改造所用材料的质量检测报告：①塑胶跑道；②人造草坪。提供一个检测报告得1分，最高得2分，本项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针对本项目提供的安全生产的技术组织措施科学、合理、可行得7分；措施较科学、较合理、 较可行得4分；措施含糊不清、欠缺可行性得1分，本项未提供不得分。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针对本项目提供的文明施工的技术组织措施科学、合理、可行得7分；措施较科学、较合理、 较可行得4分；措施含糊不清、欠缺可行性得1分，本项未提供不得分。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针对本项目提供的工期的技术组织措施科学、合理、可行得7分；措施较科学、较合理、 较可行得4分；措施含糊不清、欠缺可行性得1分，本项未提供不得分。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针对本项目提供的施工方案科学、合理、可行得7分；方案较科学、较合理、 较可行得4分；方案含糊不清、欠缺可行性得1分，本项未提供不得分。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拟投入的机械配备和材料十分充足、充分满足项目需要得7分；拟投入的机械配备和材料基本满足项目需要得4分；拟投入的机械配备和材料数量一般、满足项目需要可能存在困难得1分，本项未提供不得分。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组织机构完整，人员配置合理，职责明确得7分；组织机构较完整，人员配置较合理，职责较明确得4分；拟投入的管理机构及劳动力数量一般、满足项目需要可能存在困难得1分，本项未提供不得分。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新技术、新产品、新工艺、新材料</w:t>
            </w:r>
          </w:p>
        </w:tc>
        <w:tc>
          <w:tcPr>
            <w:tcW w:type="dxa" w:w="2492"/>
          </w:tcPr>
          <w:p>
            <w:pPr>
              <w:pStyle w:val="null3"/>
            </w:pPr>
            <w:r>
              <w:rPr>
                <w:rFonts w:ascii="仿宋_GB2312" w:hAnsi="仿宋_GB2312" w:cs="仿宋_GB2312" w:eastAsia="仿宋_GB2312"/>
              </w:rPr>
              <w:t>新技术、新产品、新工艺、新材料的应用科学、合理、经济得3分，较科学、较合理、较经济得2分，与本项目使用匹配度低得1分，本项未提供不得分。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施工现场扬尘污染防治措施（含治污减霾措施）</w:t>
            </w:r>
          </w:p>
        </w:tc>
        <w:tc>
          <w:tcPr>
            <w:tcW w:type="dxa" w:w="2492"/>
          </w:tcPr>
          <w:p>
            <w:pPr>
              <w:pStyle w:val="null3"/>
            </w:pPr>
            <w:r>
              <w:rPr>
                <w:rFonts w:ascii="仿宋_GB2312" w:hAnsi="仿宋_GB2312" w:cs="仿宋_GB2312" w:eastAsia="仿宋_GB2312"/>
              </w:rPr>
              <w:t>针对本项目提供的扬尘污染防治措施（含治污减霾措施）科学、合理、可行得7分；措施较科学、较合理、 较可行得4分；措施含糊不清、欠缺可行性得1分。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提供供应商2022年7月1日起至响应截止之日止，类似项目业绩。每有1项业绩得3分，满分9分。（提供业绩合同复印件，时间以合同签订时间为准，类似项目业绩指改造、维修类业绩）</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投标报价得分＝（评标基准价/最后磋商报价）×价格分值（注：满足磋商文件要求且最后磋商报价最低的投标报价为评标基准价。）最低报价不是中标的唯一依据。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详见附件：施工技术方案</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详见附件：供应商承诺声明函</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