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1C927E">
      <w:pPr>
        <w:spacing w:before="62" w:line="220" w:lineRule="auto"/>
        <w:jc w:val="center"/>
        <w:outlineLvl w:val="0"/>
        <w:rPr>
          <w:rFonts w:hint="eastAsia" w:ascii="仿宋" w:hAnsi="仿宋" w:eastAsia="仿宋" w:cs="仿宋"/>
          <w:color w:val="auto"/>
          <w:sz w:val="31"/>
          <w:szCs w:val="31"/>
          <w:highlight w:val="none"/>
        </w:rPr>
      </w:pPr>
      <w:r>
        <w:rPr>
          <w:rFonts w:hint="eastAsia" w:ascii="仿宋" w:hAnsi="仿宋" w:eastAsia="仿宋" w:cs="仿宋"/>
          <w:b/>
          <w:bCs/>
          <w:color w:val="auto"/>
          <w:spacing w:val="7"/>
          <w:sz w:val="40"/>
          <w:szCs w:val="40"/>
          <w:highlight w:val="none"/>
        </w:rPr>
        <w:t>第八章 拟签订采购合同文本</w:t>
      </w:r>
    </w:p>
    <w:p w14:paraId="5BCA216C">
      <w:pPr>
        <w:jc w:val="both"/>
        <w:rPr>
          <w:rFonts w:hint="eastAsia" w:ascii="仿宋" w:hAnsi="仿宋" w:eastAsia="仿宋" w:cs="仿宋"/>
          <w:b/>
          <w:color w:val="auto"/>
          <w:sz w:val="56"/>
          <w:szCs w:val="56"/>
          <w:highlight w:val="none"/>
          <w:lang w:eastAsia="zh-CN"/>
        </w:rPr>
      </w:pPr>
    </w:p>
    <w:p w14:paraId="26F51BB9">
      <w:pPr>
        <w:jc w:val="center"/>
        <w:rPr>
          <w:rFonts w:hint="eastAsia" w:ascii="仿宋" w:hAnsi="仿宋" w:eastAsia="仿宋" w:cs="仿宋"/>
          <w:b/>
          <w:color w:val="auto"/>
          <w:sz w:val="56"/>
          <w:szCs w:val="56"/>
          <w:highlight w:val="none"/>
          <w:lang w:eastAsia="zh-CN"/>
        </w:rPr>
      </w:pPr>
    </w:p>
    <w:p w14:paraId="5C471B5E">
      <w:pPr>
        <w:jc w:val="center"/>
        <w:rPr>
          <w:rFonts w:hint="eastAsia" w:ascii="仿宋" w:hAnsi="仿宋" w:eastAsia="仿宋" w:cs="仿宋"/>
          <w:b/>
          <w:color w:val="auto"/>
          <w:sz w:val="36"/>
          <w:szCs w:val="36"/>
          <w:highlight w:val="none"/>
        </w:rPr>
      </w:pPr>
    </w:p>
    <w:p w14:paraId="7371129B">
      <w:pPr>
        <w:jc w:val="both"/>
        <w:rPr>
          <w:rFonts w:hint="eastAsia" w:ascii="仿宋" w:hAnsi="仿宋" w:eastAsia="仿宋" w:cs="仿宋"/>
          <w:b/>
          <w:bCs/>
          <w:color w:val="auto"/>
          <w:sz w:val="28"/>
          <w:szCs w:val="20"/>
          <w:highlight w:val="none"/>
        </w:rPr>
      </w:pPr>
      <w:r>
        <w:rPr>
          <w:rFonts w:hint="eastAsia" w:ascii="仿宋" w:hAnsi="仿宋" w:eastAsia="仿宋" w:cs="仿宋"/>
          <w:b/>
          <w:bCs/>
          <w:color w:val="auto"/>
          <w:sz w:val="28"/>
          <w:szCs w:val="20"/>
          <w:highlight w:val="none"/>
        </w:rPr>
        <w:t>（GF－2012－0202）</w:t>
      </w:r>
    </w:p>
    <w:p w14:paraId="6B6F4BAD">
      <w:pPr>
        <w:jc w:val="center"/>
        <w:rPr>
          <w:rFonts w:hint="eastAsia" w:ascii="仿宋" w:hAnsi="仿宋" w:eastAsia="仿宋" w:cs="仿宋"/>
          <w:b/>
          <w:bCs/>
          <w:color w:val="auto"/>
          <w:sz w:val="28"/>
          <w:szCs w:val="20"/>
          <w:highlight w:val="none"/>
        </w:rPr>
      </w:pPr>
      <w:r>
        <w:rPr>
          <w:rFonts w:hint="eastAsia" w:ascii="仿宋" w:hAnsi="仿宋" w:eastAsia="仿宋" w:cs="仿宋"/>
          <w:b/>
          <w:bCs/>
          <w:color w:val="auto"/>
          <w:sz w:val="28"/>
          <w:szCs w:val="20"/>
          <w:highlight w:val="none"/>
        </w:rPr>
        <w:t xml:space="preserve">  </w:t>
      </w:r>
    </w:p>
    <w:p w14:paraId="557CFD1E">
      <w:pPr>
        <w:jc w:val="center"/>
        <w:rPr>
          <w:rFonts w:hint="eastAsia" w:ascii="仿宋" w:hAnsi="仿宋" w:eastAsia="仿宋" w:cs="仿宋"/>
          <w:b/>
          <w:bCs/>
          <w:color w:val="auto"/>
          <w:sz w:val="28"/>
          <w:szCs w:val="20"/>
          <w:highlight w:val="none"/>
        </w:rPr>
      </w:pPr>
    </w:p>
    <w:p w14:paraId="5A07F32D">
      <w:pPr>
        <w:jc w:val="center"/>
        <w:rPr>
          <w:rFonts w:hint="eastAsia" w:ascii="仿宋" w:hAnsi="仿宋" w:eastAsia="仿宋" w:cs="仿宋"/>
          <w:b/>
          <w:bCs/>
          <w:color w:val="auto"/>
          <w:sz w:val="28"/>
          <w:szCs w:val="20"/>
          <w:highlight w:val="none"/>
        </w:rPr>
      </w:pPr>
    </w:p>
    <w:p w14:paraId="2360D5E1">
      <w:pPr>
        <w:jc w:val="center"/>
        <w:rPr>
          <w:rFonts w:hint="eastAsia" w:ascii="仿宋" w:hAnsi="仿宋" w:eastAsia="仿宋" w:cs="仿宋"/>
          <w:b/>
          <w:bCs/>
          <w:color w:val="auto"/>
          <w:sz w:val="28"/>
          <w:szCs w:val="20"/>
          <w:highlight w:val="none"/>
        </w:rPr>
      </w:pPr>
    </w:p>
    <w:p w14:paraId="0286F542">
      <w:pPr>
        <w:jc w:val="center"/>
        <w:rPr>
          <w:rFonts w:hint="eastAsia" w:ascii="仿宋" w:hAnsi="仿宋" w:eastAsia="仿宋" w:cs="仿宋"/>
          <w:b/>
          <w:bCs/>
          <w:color w:val="auto"/>
          <w:sz w:val="28"/>
          <w:szCs w:val="20"/>
          <w:highlight w:val="none"/>
        </w:rPr>
      </w:pPr>
    </w:p>
    <w:p w14:paraId="0B75019F">
      <w:pPr>
        <w:jc w:val="center"/>
        <w:rPr>
          <w:rFonts w:hint="eastAsia" w:ascii="仿宋" w:hAnsi="仿宋" w:eastAsia="仿宋" w:cs="仿宋"/>
          <w:b/>
          <w:bCs/>
          <w:color w:val="auto"/>
          <w:sz w:val="28"/>
          <w:szCs w:val="20"/>
          <w:highlight w:val="none"/>
        </w:rPr>
      </w:pPr>
      <w:r>
        <w:rPr>
          <w:rFonts w:hint="eastAsia" w:ascii="仿宋" w:hAnsi="仿宋" w:eastAsia="仿宋" w:cs="仿宋"/>
          <w:b/>
          <w:bCs/>
          <w:color w:val="auto"/>
          <w:sz w:val="28"/>
          <w:szCs w:val="20"/>
          <w:highlight w:val="none"/>
        </w:rPr>
        <w:t xml:space="preserve">   </w:t>
      </w:r>
    </w:p>
    <w:p w14:paraId="537F0C61">
      <w:pPr>
        <w:jc w:val="center"/>
        <w:rPr>
          <w:rFonts w:hint="eastAsia" w:ascii="仿宋" w:hAnsi="仿宋" w:eastAsia="仿宋" w:cs="仿宋"/>
          <w:b/>
          <w:bCs/>
          <w:color w:val="auto"/>
          <w:sz w:val="40"/>
          <w:szCs w:val="40"/>
          <w:highlight w:val="none"/>
        </w:rPr>
      </w:pPr>
      <w:r>
        <w:rPr>
          <w:rFonts w:hint="eastAsia" w:ascii="仿宋" w:hAnsi="仿宋" w:eastAsia="仿宋" w:cs="仿宋"/>
          <w:b/>
          <w:bCs/>
          <w:color w:val="auto"/>
          <w:sz w:val="28"/>
          <w:szCs w:val="20"/>
          <w:highlight w:val="none"/>
        </w:rPr>
        <w:t xml:space="preserve"> </w:t>
      </w:r>
      <w:r>
        <w:rPr>
          <w:rFonts w:hint="eastAsia" w:ascii="仿宋" w:hAnsi="仿宋" w:eastAsia="仿宋" w:cs="仿宋"/>
          <w:b/>
          <w:bCs/>
          <w:color w:val="auto"/>
          <w:sz w:val="40"/>
          <w:szCs w:val="40"/>
          <w:highlight w:val="none"/>
        </w:rPr>
        <w:t>建设工程委托监理合同</w:t>
      </w:r>
    </w:p>
    <w:p w14:paraId="7356C37B">
      <w:pPr>
        <w:ind w:firstLine="2760" w:firstLineChars="1150"/>
        <w:rPr>
          <w:rFonts w:hint="eastAsia" w:ascii="仿宋" w:hAnsi="仿宋" w:eastAsia="仿宋" w:cs="仿宋"/>
          <w:bCs/>
          <w:color w:val="auto"/>
          <w:sz w:val="24"/>
          <w:szCs w:val="24"/>
          <w:highlight w:val="none"/>
        </w:rPr>
      </w:pPr>
    </w:p>
    <w:p w14:paraId="05D0B6F8">
      <w:pPr>
        <w:jc w:val="center"/>
        <w:rPr>
          <w:rFonts w:hint="eastAsia" w:ascii="仿宋" w:hAnsi="仿宋" w:eastAsia="仿宋" w:cs="仿宋"/>
          <w:b/>
          <w:bCs/>
          <w:color w:val="auto"/>
          <w:sz w:val="28"/>
          <w:szCs w:val="20"/>
          <w:highlight w:val="none"/>
        </w:rPr>
      </w:pPr>
    </w:p>
    <w:p w14:paraId="484F8910">
      <w:pPr>
        <w:jc w:val="center"/>
        <w:rPr>
          <w:rFonts w:hint="eastAsia" w:ascii="仿宋" w:hAnsi="仿宋" w:eastAsia="仿宋" w:cs="仿宋"/>
          <w:b/>
          <w:bCs/>
          <w:color w:val="auto"/>
          <w:sz w:val="28"/>
          <w:szCs w:val="20"/>
          <w:highlight w:val="none"/>
        </w:rPr>
      </w:pPr>
    </w:p>
    <w:p w14:paraId="371CEB48">
      <w:pPr>
        <w:jc w:val="center"/>
        <w:rPr>
          <w:rFonts w:hint="eastAsia" w:ascii="仿宋" w:hAnsi="仿宋" w:eastAsia="仿宋" w:cs="仿宋"/>
          <w:b/>
          <w:bCs/>
          <w:color w:val="auto"/>
          <w:sz w:val="28"/>
          <w:szCs w:val="20"/>
          <w:highlight w:val="none"/>
        </w:rPr>
      </w:pPr>
    </w:p>
    <w:p w14:paraId="2AE80DCC">
      <w:pPr>
        <w:jc w:val="center"/>
        <w:rPr>
          <w:rFonts w:hint="eastAsia" w:ascii="仿宋" w:hAnsi="仿宋" w:eastAsia="仿宋" w:cs="仿宋"/>
          <w:b/>
          <w:bCs/>
          <w:color w:val="auto"/>
          <w:sz w:val="28"/>
          <w:szCs w:val="20"/>
          <w:highlight w:val="none"/>
        </w:rPr>
      </w:pPr>
    </w:p>
    <w:p w14:paraId="0400181A">
      <w:pPr>
        <w:jc w:val="center"/>
        <w:rPr>
          <w:rFonts w:hint="eastAsia" w:ascii="仿宋" w:hAnsi="仿宋" w:eastAsia="仿宋" w:cs="仿宋"/>
          <w:b/>
          <w:bCs/>
          <w:color w:val="auto"/>
          <w:sz w:val="28"/>
          <w:szCs w:val="20"/>
          <w:highlight w:val="none"/>
        </w:rPr>
      </w:pPr>
    </w:p>
    <w:p w14:paraId="4DC069CC">
      <w:pPr>
        <w:jc w:val="center"/>
        <w:rPr>
          <w:rFonts w:hint="eastAsia" w:ascii="仿宋" w:hAnsi="仿宋" w:eastAsia="仿宋" w:cs="仿宋"/>
          <w:b/>
          <w:bCs/>
          <w:color w:val="auto"/>
          <w:sz w:val="28"/>
          <w:szCs w:val="20"/>
          <w:highlight w:val="none"/>
        </w:rPr>
      </w:pPr>
    </w:p>
    <w:p w14:paraId="7EEDC483">
      <w:pPr>
        <w:jc w:val="center"/>
        <w:rPr>
          <w:rFonts w:hint="eastAsia" w:ascii="仿宋" w:hAnsi="仿宋" w:eastAsia="仿宋" w:cs="仿宋"/>
          <w:b/>
          <w:bCs/>
          <w:color w:val="auto"/>
          <w:sz w:val="28"/>
          <w:szCs w:val="20"/>
          <w:highlight w:val="none"/>
        </w:rPr>
      </w:pPr>
    </w:p>
    <w:p w14:paraId="7EF47E17">
      <w:pPr>
        <w:jc w:val="center"/>
        <w:rPr>
          <w:rFonts w:hint="eastAsia" w:ascii="仿宋" w:hAnsi="仿宋" w:eastAsia="仿宋" w:cs="仿宋"/>
          <w:b/>
          <w:bCs/>
          <w:color w:val="auto"/>
          <w:sz w:val="28"/>
          <w:szCs w:val="20"/>
          <w:highlight w:val="none"/>
        </w:rPr>
      </w:pPr>
    </w:p>
    <w:p w14:paraId="6FED7C98">
      <w:pPr>
        <w:rPr>
          <w:rFonts w:hint="eastAsia" w:ascii="仿宋" w:hAnsi="仿宋" w:eastAsia="仿宋" w:cs="仿宋"/>
          <w:b/>
          <w:bCs/>
          <w:color w:val="auto"/>
          <w:sz w:val="22"/>
          <w:szCs w:val="20"/>
          <w:highlight w:val="none"/>
        </w:rPr>
      </w:pPr>
    </w:p>
    <w:p w14:paraId="3ADAC047">
      <w:pPr>
        <w:rPr>
          <w:rFonts w:hint="eastAsia" w:ascii="仿宋" w:hAnsi="仿宋" w:eastAsia="仿宋" w:cs="仿宋"/>
          <w:b/>
          <w:bCs/>
          <w:color w:val="auto"/>
          <w:sz w:val="22"/>
          <w:szCs w:val="20"/>
          <w:highlight w:val="none"/>
        </w:rPr>
      </w:pPr>
    </w:p>
    <w:p w14:paraId="56D21A63">
      <w:pPr>
        <w:rPr>
          <w:rFonts w:hint="eastAsia" w:ascii="仿宋" w:hAnsi="仿宋" w:eastAsia="仿宋" w:cs="仿宋"/>
          <w:b/>
          <w:bCs/>
          <w:color w:val="auto"/>
          <w:sz w:val="22"/>
          <w:szCs w:val="20"/>
          <w:highlight w:val="none"/>
        </w:rPr>
      </w:pPr>
    </w:p>
    <w:p w14:paraId="0A1FAD53">
      <w:pPr>
        <w:rPr>
          <w:rFonts w:hint="eastAsia" w:ascii="仿宋" w:hAnsi="仿宋" w:eastAsia="仿宋" w:cs="仿宋"/>
          <w:color w:val="auto"/>
          <w:sz w:val="20"/>
          <w:szCs w:val="20"/>
          <w:highlight w:val="none"/>
        </w:rPr>
      </w:pPr>
    </w:p>
    <w:p w14:paraId="07A9218F">
      <w:pPr>
        <w:jc w:val="center"/>
        <w:rPr>
          <w:rFonts w:hint="eastAsia" w:ascii="仿宋" w:hAnsi="仿宋" w:eastAsia="仿宋" w:cs="仿宋"/>
          <w:b/>
          <w:bCs/>
          <w:color w:val="auto"/>
          <w:sz w:val="40"/>
          <w:szCs w:val="40"/>
          <w:highlight w:val="none"/>
        </w:rPr>
      </w:pPr>
      <w:r>
        <w:rPr>
          <w:rFonts w:hint="eastAsia" w:ascii="仿宋" w:hAnsi="仿宋" w:eastAsia="仿宋" w:cs="仿宋"/>
          <w:b/>
          <w:bCs/>
          <w:color w:val="auto"/>
          <w:sz w:val="40"/>
          <w:szCs w:val="40"/>
          <w:highlight w:val="none"/>
          <w:lang w:val="en-US" w:eastAsia="zh-CN"/>
        </w:rPr>
        <w:t>住房和城乡</w:t>
      </w:r>
      <w:r>
        <w:rPr>
          <w:rFonts w:hint="eastAsia" w:ascii="仿宋" w:hAnsi="仿宋" w:eastAsia="仿宋" w:cs="仿宋"/>
          <w:b/>
          <w:bCs/>
          <w:color w:val="auto"/>
          <w:sz w:val="40"/>
          <w:szCs w:val="40"/>
          <w:highlight w:val="none"/>
        </w:rPr>
        <w:t>建设部</w:t>
      </w:r>
    </w:p>
    <w:p w14:paraId="4EFC564E">
      <w:pPr>
        <w:jc w:val="center"/>
        <w:rPr>
          <w:rFonts w:hint="eastAsia" w:ascii="仿宋" w:hAnsi="仿宋" w:eastAsia="仿宋" w:cs="仿宋"/>
          <w:b/>
          <w:bCs/>
          <w:color w:val="auto"/>
          <w:sz w:val="40"/>
          <w:szCs w:val="40"/>
          <w:highlight w:val="none"/>
        </w:rPr>
      </w:pPr>
      <w:r>
        <w:rPr>
          <w:rFonts w:hint="eastAsia" w:ascii="仿宋" w:hAnsi="仿宋" w:eastAsia="仿宋" w:cs="仿宋"/>
          <w:b/>
          <w:bCs/>
          <w:color w:val="auto"/>
          <w:sz w:val="40"/>
          <w:szCs w:val="40"/>
          <w:highlight w:val="none"/>
        </w:rPr>
        <w:t>国家工商行政管理</w:t>
      </w:r>
      <w:r>
        <w:rPr>
          <w:rFonts w:hint="eastAsia" w:ascii="仿宋" w:hAnsi="仿宋" w:eastAsia="仿宋" w:cs="仿宋"/>
          <w:b/>
          <w:bCs/>
          <w:color w:val="auto"/>
          <w:sz w:val="40"/>
          <w:szCs w:val="40"/>
          <w:highlight w:val="none"/>
          <w:lang w:val="en-US" w:eastAsia="zh-CN"/>
        </w:rPr>
        <w:t>总</w:t>
      </w:r>
      <w:r>
        <w:rPr>
          <w:rFonts w:hint="eastAsia" w:ascii="仿宋" w:hAnsi="仿宋" w:eastAsia="仿宋" w:cs="仿宋"/>
          <w:b/>
          <w:bCs/>
          <w:color w:val="auto"/>
          <w:sz w:val="40"/>
          <w:szCs w:val="40"/>
          <w:highlight w:val="none"/>
        </w:rPr>
        <w:t>局制定</w:t>
      </w:r>
    </w:p>
    <w:p w14:paraId="551615B9">
      <w:pPr>
        <w:jc w:val="center"/>
        <w:rPr>
          <w:rFonts w:hint="eastAsia" w:ascii="仿宋" w:hAnsi="仿宋" w:eastAsia="仿宋" w:cs="仿宋"/>
          <w:b/>
          <w:bCs/>
          <w:color w:val="auto"/>
          <w:sz w:val="40"/>
          <w:szCs w:val="40"/>
          <w:highlight w:val="none"/>
        </w:rPr>
      </w:pPr>
    </w:p>
    <w:p w14:paraId="56BB2BA2">
      <w:pPr>
        <w:jc w:val="center"/>
        <w:rPr>
          <w:rFonts w:hint="eastAsia" w:ascii="仿宋" w:hAnsi="仿宋" w:eastAsia="仿宋" w:cs="仿宋"/>
          <w:b/>
          <w:bCs/>
          <w:color w:val="auto"/>
          <w:sz w:val="40"/>
          <w:szCs w:val="40"/>
          <w:highlight w:val="none"/>
        </w:rPr>
      </w:pPr>
      <w:r>
        <w:rPr>
          <w:rFonts w:hint="eastAsia" w:ascii="仿宋" w:hAnsi="仿宋" w:eastAsia="仿宋" w:cs="仿宋"/>
          <w:b/>
          <w:bCs/>
          <w:color w:val="auto"/>
          <w:sz w:val="40"/>
          <w:szCs w:val="40"/>
          <w:highlight w:val="none"/>
        </w:rPr>
        <w:t xml:space="preserve">    年     月</w:t>
      </w:r>
    </w:p>
    <w:p w14:paraId="05B9EF73">
      <w:pPr>
        <w:rPr>
          <w:rFonts w:hint="eastAsia" w:ascii="黑体" w:eastAsia="黑体"/>
          <w:b/>
          <w:bCs/>
          <w:color w:val="auto"/>
          <w:sz w:val="24"/>
          <w:highlight w:val="none"/>
        </w:rPr>
      </w:pPr>
      <w:r>
        <w:rPr>
          <w:rFonts w:hint="eastAsia" w:ascii="黑体" w:eastAsia="黑体"/>
          <w:b/>
          <w:bCs/>
          <w:color w:val="auto"/>
          <w:sz w:val="24"/>
          <w:highlight w:val="none"/>
        </w:rPr>
        <w:t xml:space="preserve"> </w:t>
      </w:r>
    </w:p>
    <w:p w14:paraId="67EC8266">
      <w:pPr>
        <w:rPr>
          <w:rFonts w:hint="eastAsia" w:ascii="仿宋" w:hAnsi="仿宋" w:eastAsia="仿宋" w:cs="仿宋"/>
          <w:b/>
          <w:bCs/>
          <w:color w:val="auto"/>
          <w:sz w:val="28"/>
          <w:szCs w:val="28"/>
          <w:highlight w:val="none"/>
        </w:rPr>
      </w:pPr>
      <w:bookmarkStart w:id="0" w:name="_Toc468206262"/>
      <w:r>
        <w:rPr>
          <w:rFonts w:hint="eastAsia" w:ascii="仿宋" w:hAnsi="仿宋" w:eastAsia="仿宋" w:cs="仿宋"/>
          <w:b/>
          <w:bCs/>
          <w:color w:val="auto"/>
          <w:sz w:val="28"/>
          <w:szCs w:val="28"/>
          <w:highlight w:val="none"/>
        </w:rPr>
        <w:br w:type="page"/>
      </w:r>
    </w:p>
    <w:p w14:paraId="2670DE51">
      <w:pPr>
        <w:pageBreakBefore w:val="0"/>
        <w:wordWrap/>
        <w:overflowPunct/>
        <w:topLinePunct w:val="0"/>
        <w:bidi w:val="0"/>
        <w:snapToGrid w:val="0"/>
        <w:spacing w:line="360" w:lineRule="auto"/>
        <w:jc w:val="center"/>
        <w:outlineLvl w:val="9"/>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第一部分 建设工程委托监理合同</w:t>
      </w:r>
      <w:bookmarkEnd w:id="0"/>
    </w:p>
    <w:p w14:paraId="461300D1">
      <w:pPr>
        <w:keepNext w:val="0"/>
        <w:keepLines w:val="0"/>
        <w:pageBreakBefore w:val="0"/>
        <w:widowControl/>
        <w:kinsoku/>
        <w:wordWrap/>
        <w:overflowPunct/>
        <w:topLinePunct w:val="0"/>
        <w:autoSpaceDE/>
        <w:autoSpaceDN/>
        <w:bidi w:val="0"/>
        <w:adjustRightInd/>
        <w:snapToGrid w:val="0"/>
        <w:spacing w:line="360" w:lineRule="auto"/>
        <w:ind w:left="0" w:leftChars="0" w:firstLine="560" w:firstLineChars="20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委托人</w:t>
      </w:r>
      <w:r>
        <w:rPr>
          <w:rFonts w:hint="eastAsia" w:ascii="仿宋" w:hAnsi="仿宋" w:eastAsia="仿宋" w:cs="仿宋"/>
          <w:color w:val="auto"/>
          <w:kern w:val="0"/>
          <w:sz w:val="28"/>
          <w:szCs w:val="28"/>
          <w:highlight w:val="none"/>
          <w:u w:val="single"/>
          <w:lang w:val="en-US" w:eastAsia="zh-CN"/>
        </w:rPr>
        <w:t>西安高新技术产业开发区公共项目建设管理中心</w:t>
      </w:r>
      <w:r>
        <w:rPr>
          <w:rFonts w:hint="eastAsia" w:ascii="仿宋" w:hAnsi="仿宋" w:eastAsia="仿宋" w:cs="仿宋"/>
          <w:color w:val="auto"/>
          <w:kern w:val="0"/>
          <w:sz w:val="28"/>
          <w:szCs w:val="28"/>
          <w:highlight w:val="none"/>
        </w:rPr>
        <w:t>与监理人</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经双方协商一致，签订本合同。</w:t>
      </w:r>
    </w:p>
    <w:p w14:paraId="468B202B">
      <w:pPr>
        <w:keepNext w:val="0"/>
        <w:keepLines w:val="0"/>
        <w:pageBreakBefore w:val="0"/>
        <w:widowControl/>
        <w:kinsoku/>
        <w:wordWrap/>
        <w:overflowPunct/>
        <w:topLinePunct w:val="0"/>
        <w:autoSpaceDE/>
        <w:autoSpaceDN/>
        <w:bidi w:val="0"/>
        <w:adjustRightInd/>
        <w:snapToGrid w:val="0"/>
        <w:spacing w:line="360" w:lineRule="auto"/>
        <w:ind w:firstLine="560" w:firstLineChars="20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一、委托人委托监理人监理的工程（以下简称“本工程”）概况如下：</w:t>
      </w:r>
    </w:p>
    <w:p w14:paraId="72AA4567">
      <w:pPr>
        <w:keepNext w:val="0"/>
        <w:keepLines w:val="0"/>
        <w:pageBreakBefore w:val="0"/>
        <w:widowControl/>
        <w:kinsoku/>
        <w:wordWrap/>
        <w:overflowPunct/>
        <w:topLinePunct w:val="0"/>
        <w:autoSpaceDE/>
        <w:autoSpaceDN/>
        <w:bidi w:val="0"/>
        <w:adjustRightInd/>
        <w:snapToGrid w:val="0"/>
        <w:spacing w:line="360" w:lineRule="auto"/>
        <w:ind w:left="0" w:leftChars="0" w:firstLine="560" w:firstLineChars="20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工程名称：高新区枣林六街市政道路建设项目监理</w:t>
      </w:r>
    </w:p>
    <w:p w14:paraId="1A0D438B">
      <w:pPr>
        <w:keepNext w:val="0"/>
        <w:keepLines w:val="0"/>
        <w:pageBreakBefore w:val="0"/>
        <w:widowControl/>
        <w:kinsoku/>
        <w:wordWrap/>
        <w:overflowPunct/>
        <w:topLinePunct w:val="0"/>
        <w:autoSpaceDE/>
        <w:autoSpaceDN/>
        <w:bidi w:val="0"/>
        <w:adjustRightInd/>
        <w:snapToGrid w:val="0"/>
        <w:spacing w:line="360" w:lineRule="auto"/>
        <w:ind w:firstLine="560" w:firstLineChars="200"/>
        <w:jc w:val="left"/>
        <w:textAlignment w:val="auto"/>
        <w:outlineLvl w:val="9"/>
        <w:rPr>
          <w:rFonts w:hint="default" w:ascii="仿宋" w:hAnsi="仿宋" w:eastAsia="仿宋" w:cs="仿宋"/>
          <w:color w:val="auto"/>
          <w:sz w:val="28"/>
          <w:szCs w:val="28"/>
          <w:highlight w:val="none"/>
          <w:u w:val="single"/>
          <w:lang w:val="en-US" w:eastAsia="zh-CN"/>
        </w:rPr>
      </w:pPr>
      <w:r>
        <w:rPr>
          <w:rFonts w:hint="eastAsia" w:ascii="仿宋" w:hAnsi="仿宋" w:eastAsia="仿宋" w:cs="仿宋"/>
          <w:color w:val="auto"/>
          <w:kern w:val="0"/>
          <w:sz w:val="28"/>
          <w:szCs w:val="28"/>
          <w:highlight w:val="none"/>
        </w:rPr>
        <w:t>工程地点：</w:t>
      </w:r>
      <w:r>
        <w:rPr>
          <w:rFonts w:hint="eastAsia" w:ascii="仿宋" w:hAnsi="仿宋" w:eastAsia="仿宋" w:cs="仿宋"/>
          <w:color w:val="auto"/>
          <w:kern w:val="0"/>
          <w:sz w:val="28"/>
          <w:szCs w:val="28"/>
          <w:highlight w:val="none"/>
          <w:lang w:val="en-US" w:eastAsia="zh-CN"/>
        </w:rPr>
        <w:t>西安市高新区</w:t>
      </w:r>
    </w:p>
    <w:p w14:paraId="74D32521">
      <w:pPr>
        <w:keepNext w:val="0"/>
        <w:keepLines w:val="0"/>
        <w:pageBreakBefore w:val="0"/>
        <w:widowControl/>
        <w:kinsoku/>
        <w:wordWrap/>
        <w:overflowPunct/>
        <w:topLinePunct w:val="0"/>
        <w:autoSpaceDE/>
        <w:autoSpaceDN/>
        <w:bidi w:val="0"/>
        <w:adjustRightInd/>
        <w:snapToGrid w:val="0"/>
        <w:spacing w:line="360" w:lineRule="auto"/>
        <w:ind w:left="0" w:leftChars="0" w:firstLine="560" w:firstLineChars="200"/>
        <w:jc w:val="left"/>
        <w:textAlignment w:val="auto"/>
        <w:outlineLvl w:val="9"/>
        <w:rPr>
          <w:rFonts w:hint="eastAsia" w:ascii="仿宋" w:hAnsi="仿宋" w:eastAsia="仿宋" w:cs="仿宋"/>
          <w:color w:val="auto"/>
          <w:kern w:val="0"/>
          <w:sz w:val="28"/>
          <w:szCs w:val="28"/>
          <w:highlight w:val="none"/>
          <w:lang w:val="en-US" w:eastAsia="zh-CN"/>
        </w:rPr>
      </w:pPr>
      <w:r>
        <w:rPr>
          <w:rFonts w:hint="eastAsia" w:ascii="仿宋" w:hAnsi="仿宋" w:eastAsia="仿宋" w:cs="仿宋"/>
          <w:color w:val="auto"/>
          <w:sz w:val="28"/>
          <w:szCs w:val="28"/>
          <w:highlight w:val="none"/>
        </w:rPr>
        <w:t>工程规模：</w:t>
      </w:r>
      <w:r>
        <w:rPr>
          <w:rFonts w:hint="eastAsia" w:ascii="仿宋" w:hAnsi="仿宋" w:eastAsia="仿宋" w:cs="仿宋"/>
          <w:color w:val="auto"/>
          <w:kern w:val="0"/>
          <w:sz w:val="28"/>
          <w:szCs w:val="28"/>
          <w:highlight w:val="none"/>
          <w:lang w:val="en-US" w:eastAsia="zh-CN"/>
        </w:rPr>
        <w:t>高新区枣林六街市政道路建设项目，建设高新区枣林六街（枣林路-西太路段）道路工程、给水工程、排水工程、线缆管廊工程、照明工程、交通工程及相关附属设施，道路全长约0.358km，规划红线宽度30m。</w:t>
      </w:r>
    </w:p>
    <w:p w14:paraId="0B64BA3C">
      <w:pPr>
        <w:keepNext w:val="0"/>
        <w:keepLines w:val="0"/>
        <w:pageBreakBefore w:val="0"/>
        <w:widowControl/>
        <w:kinsoku/>
        <w:wordWrap/>
        <w:overflowPunct/>
        <w:topLinePunct w:val="0"/>
        <w:autoSpaceDE/>
        <w:autoSpaceDN/>
        <w:bidi w:val="0"/>
        <w:adjustRightInd/>
        <w:snapToGrid w:val="0"/>
        <w:spacing w:line="360" w:lineRule="auto"/>
        <w:ind w:left="0" w:leftChars="0" w:firstLine="560" w:firstLineChars="200"/>
        <w:jc w:val="left"/>
        <w:textAlignment w:val="auto"/>
        <w:outlineLvl w:val="9"/>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rPr>
        <w:t>建筑安装工程费：</w:t>
      </w:r>
      <w:r>
        <w:rPr>
          <w:rFonts w:hint="eastAsia" w:ascii="仿宋" w:hAnsi="仿宋" w:eastAsia="仿宋" w:cs="仿宋"/>
          <w:color w:val="auto"/>
          <w:kern w:val="0"/>
          <w:sz w:val="28"/>
          <w:szCs w:val="28"/>
          <w:highlight w:val="none"/>
          <w:lang w:val="en-US" w:eastAsia="zh-CN"/>
        </w:rPr>
        <w:t>2260.41万元</w:t>
      </w:r>
    </w:p>
    <w:p w14:paraId="502E8BAD">
      <w:pPr>
        <w:keepNext w:val="0"/>
        <w:keepLines w:val="0"/>
        <w:pageBreakBefore w:val="0"/>
        <w:widowControl/>
        <w:kinsoku/>
        <w:wordWrap/>
        <w:overflowPunct/>
        <w:topLinePunct w:val="0"/>
        <w:autoSpaceDE/>
        <w:autoSpaceDN/>
        <w:bidi w:val="0"/>
        <w:adjustRightInd/>
        <w:snapToGrid w:val="0"/>
        <w:spacing w:line="360" w:lineRule="auto"/>
        <w:ind w:left="0" w:leftChars="0" w:firstLine="560" w:firstLineChars="20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合同价（暂定）：（大写）：</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lang w:eastAsia="zh-CN"/>
        </w:rPr>
        <w:t>，</w:t>
      </w:r>
      <w:r>
        <w:rPr>
          <w:rFonts w:hint="eastAsia" w:ascii="仿宋" w:hAnsi="仿宋" w:eastAsia="仿宋" w:cs="仿宋"/>
          <w:color w:val="auto"/>
          <w:kern w:val="0"/>
          <w:sz w:val="28"/>
          <w:szCs w:val="28"/>
          <w:highlight w:val="none"/>
          <w:lang w:val="en-US" w:eastAsia="zh-CN"/>
        </w:rPr>
        <w:t>监理服务费费率为</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u w:val="none"/>
          <w:lang w:val="en-US" w:eastAsia="zh-CN"/>
        </w:rPr>
        <w:t xml:space="preserve"> %。</w:t>
      </w:r>
      <w:r>
        <w:rPr>
          <w:rFonts w:hint="eastAsia" w:ascii="仿宋" w:hAnsi="仿宋" w:eastAsia="仿宋" w:cs="仿宋"/>
          <w:color w:val="auto"/>
          <w:kern w:val="0"/>
          <w:sz w:val="28"/>
          <w:szCs w:val="28"/>
          <w:highlight w:val="none"/>
        </w:rPr>
        <w:t>（本价款包含增值税</w:t>
      </w:r>
      <w:r>
        <w:rPr>
          <w:rFonts w:hint="eastAsia" w:ascii="仿宋" w:hAnsi="仿宋" w:eastAsia="仿宋" w:cs="仿宋"/>
          <w:color w:val="auto"/>
          <w:kern w:val="0"/>
          <w:sz w:val="28"/>
          <w:szCs w:val="28"/>
          <w:highlight w:val="none"/>
          <w:u w:val="single"/>
          <w:lang w:val="en-US" w:eastAsia="zh-CN"/>
        </w:rPr>
        <w:t xml:space="preserve">   </w:t>
      </w:r>
      <w:r>
        <w:rPr>
          <w:rFonts w:hint="eastAsia" w:ascii="仿宋" w:hAnsi="仿宋" w:eastAsia="仿宋" w:cs="仿宋"/>
          <w:color w:val="auto"/>
          <w:kern w:val="0"/>
          <w:sz w:val="28"/>
          <w:szCs w:val="28"/>
          <w:highlight w:val="none"/>
          <w:lang w:val="en-US" w:eastAsia="zh-CN"/>
        </w:rPr>
        <w:t>元</w:t>
      </w:r>
      <w:r>
        <w:rPr>
          <w:rFonts w:hint="eastAsia" w:ascii="仿宋" w:hAnsi="仿宋" w:eastAsia="仿宋" w:cs="仿宋"/>
          <w:color w:val="auto"/>
          <w:kern w:val="0"/>
          <w:sz w:val="28"/>
          <w:szCs w:val="28"/>
          <w:highlight w:val="none"/>
        </w:rPr>
        <w:t>，增值税税率为</w:t>
      </w:r>
      <w:r>
        <w:rPr>
          <w:rFonts w:hint="eastAsia" w:ascii="仿宋" w:hAnsi="仿宋" w:eastAsia="仿宋" w:cs="仿宋"/>
          <w:color w:val="auto"/>
          <w:kern w:val="0"/>
          <w:sz w:val="28"/>
          <w:szCs w:val="28"/>
          <w:highlight w:val="none"/>
          <w:u w:val="single"/>
          <w:lang w:val="en-US" w:eastAsia="zh-CN"/>
        </w:rPr>
        <w:t>6</w:t>
      </w:r>
      <w:r>
        <w:rPr>
          <w:rFonts w:hint="eastAsia" w:ascii="仿宋" w:hAnsi="仿宋" w:eastAsia="仿宋" w:cs="仿宋"/>
          <w:color w:val="auto"/>
          <w:kern w:val="0"/>
          <w:sz w:val="28"/>
          <w:szCs w:val="28"/>
          <w:highlight w:val="none"/>
        </w:rPr>
        <w:t>%，结算时税率根据国家相关税率政策的调整而调整）不含税金额为：（大写）：</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w:t>
      </w:r>
    </w:p>
    <w:p w14:paraId="7CD92951">
      <w:pPr>
        <w:keepNext w:val="0"/>
        <w:keepLines w:val="0"/>
        <w:pageBreakBefore w:val="0"/>
        <w:widowControl/>
        <w:kinsoku/>
        <w:wordWrap/>
        <w:overflowPunct/>
        <w:topLinePunct w:val="0"/>
        <w:autoSpaceDE/>
        <w:autoSpaceDN/>
        <w:bidi w:val="0"/>
        <w:adjustRightInd/>
        <w:snapToGrid w:val="0"/>
        <w:spacing w:line="360" w:lineRule="auto"/>
        <w:ind w:left="0" w:leftChars="0" w:firstLine="560" w:firstLineChars="20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二、本合同中的有关词语含义与本合同第二部分《标准条件》中赋予它们的定义相同。 </w:t>
      </w:r>
    </w:p>
    <w:p w14:paraId="6EE6E97D">
      <w:pPr>
        <w:keepNext w:val="0"/>
        <w:keepLines w:val="0"/>
        <w:pageBreakBefore w:val="0"/>
        <w:widowControl/>
        <w:kinsoku/>
        <w:wordWrap/>
        <w:overflowPunct/>
        <w:topLinePunct w:val="0"/>
        <w:autoSpaceDE/>
        <w:autoSpaceDN/>
        <w:bidi w:val="0"/>
        <w:adjustRightInd/>
        <w:snapToGrid w:val="0"/>
        <w:spacing w:line="360" w:lineRule="auto"/>
        <w:ind w:left="0" w:leftChars="0" w:firstLine="560" w:firstLineChars="20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三、下列文件均为本合同的组成部分：</w:t>
      </w:r>
    </w:p>
    <w:p w14:paraId="0DDFD32B">
      <w:pPr>
        <w:keepNext w:val="0"/>
        <w:keepLines w:val="0"/>
        <w:pageBreakBefore w:val="0"/>
        <w:widowControl/>
        <w:kinsoku/>
        <w:wordWrap/>
        <w:overflowPunct/>
        <w:topLinePunct w:val="0"/>
        <w:autoSpaceDE/>
        <w:autoSpaceDN/>
        <w:bidi w:val="0"/>
        <w:adjustRightInd/>
        <w:snapToGrid w:val="0"/>
        <w:spacing w:line="360" w:lineRule="auto"/>
        <w:ind w:left="0" w:leftChars="0" w:firstLine="560" w:firstLineChars="20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①</w:t>
      </w:r>
      <w:r>
        <w:rPr>
          <w:rFonts w:hint="eastAsia" w:ascii="仿宋" w:hAnsi="仿宋" w:eastAsia="仿宋" w:cs="仿宋"/>
          <w:color w:val="auto"/>
          <w:kern w:val="0"/>
          <w:sz w:val="28"/>
          <w:szCs w:val="28"/>
          <w:highlight w:val="none"/>
          <w:lang w:val="en-US" w:eastAsia="zh-CN"/>
        </w:rPr>
        <w:t>竞争性磋商响应文件</w:t>
      </w:r>
      <w:r>
        <w:rPr>
          <w:rFonts w:hint="eastAsia" w:ascii="仿宋" w:hAnsi="仿宋" w:eastAsia="仿宋" w:cs="仿宋"/>
          <w:color w:val="auto"/>
          <w:kern w:val="0"/>
          <w:sz w:val="28"/>
          <w:szCs w:val="28"/>
          <w:highlight w:val="none"/>
        </w:rPr>
        <w:t>或</w:t>
      </w:r>
      <w:r>
        <w:rPr>
          <w:rFonts w:hint="eastAsia" w:ascii="仿宋" w:hAnsi="仿宋" w:eastAsia="仿宋" w:cs="仿宋"/>
          <w:color w:val="auto"/>
          <w:kern w:val="0"/>
          <w:sz w:val="28"/>
          <w:szCs w:val="28"/>
          <w:highlight w:val="none"/>
          <w:lang w:val="en-US" w:eastAsia="zh-CN"/>
        </w:rPr>
        <w:t>成交</w:t>
      </w:r>
      <w:r>
        <w:rPr>
          <w:rFonts w:hint="eastAsia" w:ascii="仿宋" w:hAnsi="仿宋" w:eastAsia="仿宋" w:cs="仿宋"/>
          <w:color w:val="auto"/>
          <w:kern w:val="0"/>
          <w:sz w:val="28"/>
          <w:szCs w:val="28"/>
          <w:highlight w:val="none"/>
        </w:rPr>
        <w:t>通知书；</w:t>
      </w:r>
    </w:p>
    <w:p w14:paraId="6714476D">
      <w:pPr>
        <w:keepNext w:val="0"/>
        <w:keepLines w:val="0"/>
        <w:pageBreakBefore w:val="0"/>
        <w:widowControl/>
        <w:kinsoku/>
        <w:wordWrap/>
        <w:overflowPunct/>
        <w:topLinePunct w:val="0"/>
        <w:autoSpaceDE/>
        <w:autoSpaceDN/>
        <w:bidi w:val="0"/>
        <w:adjustRightInd/>
        <w:snapToGrid w:val="0"/>
        <w:spacing w:line="360" w:lineRule="auto"/>
        <w:ind w:left="0" w:leftChars="0" w:firstLine="560" w:firstLineChars="20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②本合同标准条件；</w:t>
      </w:r>
    </w:p>
    <w:p w14:paraId="17FBE560">
      <w:pPr>
        <w:keepNext w:val="0"/>
        <w:keepLines w:val="0"/>
        <w:pageBreakBefore w:val="0"/>
        <w:widowControl/>
        <w:kinsoku/>
        <w:wordWrap/>
        <w:overflowPunct/>
        <w:topLinePunct w:val="0"/>
        <w:autoSpaceDE/>
        <w:autoSpaceDN/>
        <w:bidi w:val="0"/>
        <w:adjustRightInd/>
        <w:snapToGrid w:val="0"/>
        <w:spacing w:line="360" w:lineRule="auto"/>
        <w:ind w:left="0" w:leftChars="0" w:firstLine="560" w:firstLineChars="20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③本合同专用条件；</w:t>
      </w:r>
    </w:p>
    <w:p w14:paraId="0DA606CB">
      <w:pPr>
        <w:keepNext w:val="0"/>
        <w:keepLines w:val="0"/>
        <w:pageBreakBefore w:val="0"/>
        <w:widowControl/>
        <w:kinsoku/>
        <w:wordWrap/>
        <w:overflowPunct/>
        <w:topLinePunct w:val="0"/>
        <w:autoSpaceDE/>
        <w:autoSpaceDN/>
        <w:bidi w:val="0"/>
        <w:adjustRightInd/>
        <w:snapToGrid w:val="0"/>
        <w:spacing w:line="360" w:lineRule="auto"/>
        <w:ind w:left="0" w:leftChars="0" w:firstLine="560" w:firstLineChars="20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④在实施过程中双方共同签署的补充与修正文件。</w:t>
      </w:r>
    </w:p>
    <w:p w14:paraId="1E12917B">
      <w:pPr>
        <w:keepNext w:val="0"/>
        <w:keepLines w:val="0"/>
        <w:pageBreakBefore w:val="0"/>
        <w:widowControl/>
        <w:kinsoku/>
        <w:wordWrap/>
        <w:overflowPunct/>
        <w:topLinePunct w:val="0"/>
        <w:autoSpaceDE/>
        <w:autoSpaceDN/>
        <w:bidi w:val="0"/>
        <w:adjustRightInd/>
        <w:snapToGrid w:val="0"/>
        <w:spacing w:line="360" w:lineRule="auto"/>
        <w:ind w:left="0" w:leftChars="0" w:firstLine="560" w:firstLineChars="20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四、监理人向委托人承诺，按照本合同的规定，承担本合同专用条件中议定范围的监理业务。</w:t>
      </w:r>
    </w:p>
    <w:p w14:paraId="658CFC4C">
      <w:pPr>
        <w:keepNext w:val="0"/>
        <w:keepLines w:val="0"/>
        <w:pageBreakBefore w:val="0"/>
        <w:kinsoku/>
        <w:wordWrap/>
        <w:overflowPunct/>
        <w:topLinePunct w:val="0"/>
        <w:autoSpaceDE/>
        <w:autoSpaceDN/>
        <w:bidi w:val="0"/>
        <w:adjustRightInd/>
        <w:snapToGrid w:val="0"/>
        <w:spacing w:line="360" w:lineRule="auto"/>
        <w:ind w:left="0" w:leftChars="0" w:firstLine="560" w:firstLineChars="20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五、委托人向监理人承诺，按照本合同注明的期限、方式、币种，向监理人支付报酬。</w:t>
      </w:r>
    </w:p>
    <w:p w14:paraId="2D2665B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outlineLvl w:val="9"/>
        <w:rPr>
          <w:rFonts w:hint="eastAsia" w:ascii="仿宋" w:hAnsi="仿宋" w:eastAsia="仿宋" w:cs="仿宋"/>
          <w:color w:val="auto"/>
          <w:sz w:val="28"/>
          <w:szCs w:val="28"/>
          <w:highlight w:val="none"/>
          <w:lang w:val="en-US" w:eastAsia="zh-CN"/>
        </w:rPr>
      </w:pPr>
      <w:r>
        <w:rPr>
          <w:rFonts w:hint="eastAsia" w:eastAsia="宋体"/>
          <w:color w:val="auto"/>
          <w:highlight w:val="none"/>
          <w:lang w:val="en-US" w:eastAsia="zh-CN"/>
        </w:rPr>
        <w:t xml:space="preserve">  </w:t>
      </w:r>
      <w:r>
        <w:rPr>
          <w:rFonts w:hint="eastAsia" w:ascii="仿宋" w:hAnsi="仿宋" w:eastAsia="仿宋" w:cs="仿宋"/>
          <w:color w:val="auto"/>
          <w:kern w:val="0"/>
          <w:sz w:val="28"/>
          <w:szCs w:val="28"/>
          <w:highlight w:val="none"/>
        </w:rPr>
        <w:t>监理服务期</w:t>
      </w:r>
      <w:r>
        <w:rPr>
          <w:rFonts w:hint="eastAsia" w:ascii="仿宋" w:hAnsi="仿宋" w:eastAsia="仿宋" w:cs="仿宋"/>
          <w:color w:val="auto"/>
          <w:kern w:val="0"/>
          <w:sz w:val="28"/>
          <w:szCs w:val="28"/>
          <w:highlight w:val="none"/>
          <w:lang w:eastAsia="zh-CN"/>
        </w:rPr>
        <w:t>：</w:t>
      </w:r>
      <w:r>
        <w:rPr>
          <w:rFonts w:hint="eastAsia" w:ascii="仿宋" w:hAnsi="仿宋" w:eastAsia="仿宋" w:cs="仿宋"/>
          <w:color w:val="auto"/>
          <w:sz w:val="28"/>
          <w:szCs w:val="28"/>
          <w:highlight w:val="none"/>
          <w:lang w:val="en-US" w:eastAsia="zh-CN"/>
        </w:rPr>
        <w:t>合同签订之日起至项目竣工验收结束、各项资料移交完毕为止。</w:t>
      </w:r>
    </w:p>
    <w:p w14:paraId="32180190">
      <w:pPr>
        <w:keepNext w:val="0"/>
        <w:keepLines w:val="0"/>
        <w:pageBreakBefore w:val="0"/>
        <w:kinsoku/>
        <w:wordWrap/>
        <w:overflowPunct/>
        <w:topLinePunct w:val="0"/>
        <w:autoSpaceDE/>
        <w:autoSpaceDN/>
        <w:bidi w:val="0"/>
        <w:adjustRightInd/>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具体以施工单位完成本工程的全部施工内容作为最终的监理服务期。</w:t>
      </w:r>
    </w:p>
    <w:p w14:paraId="3484117F">
      <w:pPr>
        <w:keepNext w:val="0"/>
        <w:keepLines w:val="0"/>
        <w:pageBreakBefore w:val="0"/>
        <w:widowControl/>
        <w:kinsoku/>
        <w:wordWrap/>
        <w:overflowPunct/>
        <w:topLinePunct w:val="0"/>
        <w:autoSpaceDE/>
        <w:autoSpaceDN/>
        <w:bidi w:val="0"/>
        <w:adjustRightInd/>
        <w:snapToGrid w:val="0"/>
        <w:spacing w:line="360" w:lineRule="auto"/>
        <w:ind w:left="0" w:leftChars="0" w:firstLine="560" w:firstLineChars="20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本合同一式</w:t>
      </w:r>
      <w:r>
        <w:rPr>
          <w:rFonts w:hint="eastAsia" w:ascii="仿宋" w:hAnsi="仿宋" w:eastAsia="仿宋" w:cs="仿宋"/>
          <w:color w:val="auto"/>
          <w:kern w:val="0"/>
          <w:sz w:val="28"/>
          <w:szCs w:val="28"/>
          <w:highlight w:val="none"/>
          <w:u w:val="single"/>
        </w:rPr>
        <w:t xml:space="preserve"> 拾 </w:t>
      </w:r>
      <w:r>
        <w:rPr>
          <w:rFonts w:hint="eastAsia" w:ascii="仿宋" w:hAnsi="仿宋" w:eastAsia="仿宋" w:cs="仿宋"/>
          <w:color w:val="auto"/>
          <w:kern w:val="0"/>
          <w:sz w:val="28"/>
          <w:szCs w:val="28"/>
          <w:highlight w:val="none"/>
        </w:rPr>
        <w:t>份，正本</w:t>
      </w:r>
      <w:r>
        <w:rPr>
          <w:rFonts w:hint="eastAsia" w:ascii="仿宋" w:hAnsi="仿宋" w:eastAsia="仿宋" w:cs="仿宋"/>
          <w:color w:val="auto"/>
          <w:kern w:val="0"/>
          <w:sz w:val="28"/>
          <w:szCs w:val="28"/>
          <w:highlight w:val="none"/>
          <w:u w:val="single"/>
        </w:rPr>
        <w:t xml:space="preserve"> 贰 </w:t>
      </w:r>
      <w:r>
        <w:rPr>
          <w:rFonts w:hint="eastAsia" w:ascii="仿宋" w:hAnsi="仿宋" w:eastAsia="仿宋" w:cs="仿宋"/>
          <w:color w:val="auto"/>
          <w:kern w:val="0"/>
          <w:sz w:val="28"/>
          <w:szCs w:val="28"/>
          <w:highlight w:val="none"/>
        </w:rPr>
        <w:t>份，双方各执</w:t>
      </w:r>
      <w:r>
        <w:rPr>
          <w:rFonts w:hint="eastAsia" w:ascii="仿宋" w:hAnsi="仿宋" w:eastAsia="仿宋" w:cs="仿宋"/>
          <w:color w:val="auto"/>
          <w:kern w:val="0"/>
          <w:sz w:val="28"/>
          <w:szCs w:val="28"/>
          <w:highlight w:val="none"/>
          <w:u w:val="single"/>
        </w:rPr>
        <w:t xml:space="preserve"> 壹 </w:t>
      </w:r>
      <w:r>
        <w:rPr>
          <w:rFonts w:hint="eastAsia" w:ascii="仿宋" w:hAnsi="仿宋" w:eastAsia="仿宋" w:cs="仿宋"/>
          <w:color w:val="auto"/>
          <w:kern w:val="0"/>
          <w:sz w:val="28"/>
          <w:szCs w:val="28"/>
          <w:highlight w:val="none"/>
        </w:rPr>
        <w:t>份，副本</w:t>
      </w:r>
      <w:r>
        <w:rPr>
          <w:rFonts w:hint="eastAsia" w:ascii="仿宋" w:hAnsi="仿宋" w:eastAsia="仿宋" w:cs="仿宋"/>
          <w:color w:val="auto"/>
          <w:kern w:val="0"/>
          <w:sz w:val="28"/>
          <w:szCs w:val="28"/>
          <w:highlight w:val="none"/>
          <w:u w:val="single"/>
        </w:rPr>
        <w:t xml:space="preserve"> 捌 </w:t>
      </w:r>
      <w:r>
        <w:rPr>
          <w:rFonts w:hint="eastAsia" w:ascii="仿宋" w:hAnsi="仿宋" w:eastAsia="仿宋" w:cs="仿宋"/>
          <w:color w:val="auto"/>
          <w:kern w:val="0"/>
          <w:sz w:val="28"/>
          <w:szCs w:val="28"/>
          <w:highlight w:val="none"/>
        </w:rPr>
        <w:t>份，双方各执</w:t>
      </w:r>
      <w:r>
        <w:rPr>
          <w:rFonts w:hint="eastAsia" w:ascii="仿宋" w:hAnsi="仿宋" w:eastAsia="仿宋" w:cs="仿宋"/>
          <w:color w:val="auto"/>
          <w:kern w:val="0"/>
          <w:sz w:val="28"/>
          <w:szCs w:val="28"/>
          <w:highlight w:val="none"/>
          <w:u w:val="single"/>
        </w:rPr>
        <w:t xml:space="preserve"> 肆</w:t>
      </w:r>
      <w:r>
        <w:rPr>
          <w:rFonts w:hint="eastAsia" w:ascii="仿宋" w:hAnsi="仿宋" w:eastAsia="仿宋" w:cs="仿宋"/>
          <w:color w:val="auto"/>
          <w:kern w:val="0"/>
          <w:sz w:val="28"/>
          <w:szCs w:val="28"/>
          <w:highlight w:val="none"/>
        </w:rPr>
        <w:t>份，具有同等法律效力。</w:t>
      </w:r>
    </w:p>
    <w:tbl>
      <w:tblPr>
        <w:tblStyle w:val="5"/>
        <w:tblW w:w="9178" w:type="dxa"/>
        <w:tblInd w:w="0" w:type="dxa"/>
        <w:tblLayout w:type="fixed"/>
        <w:tblCellMar>
          <w:top w:w="0" w:type="dxa"/>
          <w:left w:w="108" w:type="dxa"/>
          <w:bottom w:w="0" w:type="dxa"/>
          <w:right w:w="108" w:type="dxa"/>
        </w:tblCellMar>
      </w:tblPr>
      <w:tblGrid>
        <w:gridCol w:w="1608"/>
        <w:gridCol w:w="3017"/>
        <w:gridCol w:w="1906"/>
        <w:gridCol w:w="2647"/>
      </w:tblGrid>
      <w:tr w14:paraId="46957D1D">
        <w:tblPrEx>
          <w:tblCellMar>
            <w:top w:w="0" w:type="dxa"/>
            <w:left w:w="108" w:type="dxa"/>
            <w:bottom w:w="0" w:type="dxa"/>
            <w:right w:w="108" w:type="dxa"/>
          </w:tblCellMar>
        </w:tblPrEx>
        <w:tc>
          <w:tcPr>
            <w:tcW w:w="1608" w:type="dxa"/>
            <w:noWrap w:val="0"/>
            <w:vAlign w:val="top"/>
          </w:tcPr>
          <w:p w14:paraId="55F8AE8E">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委托人：</w:t>
            </w:r>
          </w:p>
        </w:tc>
        <w:tc>
          <w:tcPr>
            <w:tcW w:w="3017" w:type="dxa"/>
            <w:noWrap w:val="0"/>
            <w:vAlign w:val="top"/>
          </w:tcPr>
          <w:p w14:paraId="61DE1C1A">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u w:val="single"/>
              </w:rPr>
              <w:t>西安高新技术产业开发区公共项目建设管理中心</w:t>
            </w:r>
          </w:p>
        </w:tc>
        <w:tc>
          <w:tcPr>
            <w:tcW w:w="1906" w:type="dxa"/>
            <w:noWrap w:val="0"/>
            <w:vAlign w:val="top"/>
          </w:tcPr>
          <w:p w14:paraId="7DE851FD">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监理人：</w:t>
            </w:r>
          </w:p>
        </w:tc>
        <w:tc>
          <w:tcPr>
            <w:tcW w:w="2647" w:type="dxa"/>
            <w:noWrap w:val="0"/>
            <w:vAlign w:val="top"/>
          </w:tcPr>
          <w:p w14:paraId="30374382">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tc>
      </w:tr>
      <w:tr w14:paraId="7BE98D47">
        <w:tblPrEx>
          <w:tblCellMar>
            <w:top w:w="0" w:type="dxa"/>
            <w:left w:w="108" w:type="dxa"/>
            <w:bottom w:w="0" w:type="dxa"/>
            <w:right w:w="108" w:type="dxa"/>
          </w:tblCellMar>
        </w:tblPrEx>
        <w:tc>
          <w:tcPr>
            <w:tcW w:w="1608" w:type="dxa"/>
            <w:noWrap w:val="0"/>
            <w:vAlign w:val="top"/>
          </w:tcPr>
          <w:p w14:paraId="060DB048">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住所：</w:t>
            </w:r>
          </w:p>
        </w:tc>
        <w:tc>
          <w:tcPr>
            <w:tcW w:w="3017" w:type="dxa"/>
            <w:noWrap w:val="0"/>
            <w:vAlign w:val="top"/>
          </w:tcPr>
          <w:p w14:paraId="5DB699D6">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u w:val="single"/>
              </w:rPr>
              <w:t>高新区丝路创智谷6号楼</w:t>
            </w:r>
          </w:p>
        </w:tc>
        <w:tc>
          <w:tcPr>
            <w:tcW w:w="1906" w:type="dxa"/>
            <w:noWrap w:val="0"/>
            <w:vAlign w:val="top"/>
          </w:tcPr>
          <w:p w14:paraId="002E93F7">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住所：</w:t>
            </w:r>
          </w:p>
        </w:tc>
        <w:tc>
          <w:tcPr>
            <w:tcW w:w="2647" w:type="dxa"/>
            <w:noWrap w:val="0"/>
            <w:vAlign w:val="top"/>
          </w:tcPr>
          <w:p w14:paraId="42296791">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tc>
      </w:tr>
      <w:tr w14:paraId="5A11B9F5">
        <w:tblPrEx>
          <w:tblCellMar>
            <w:top w:w="0" w:type="dxa"/>
            <w:left w:w="108" w:type="dxa"/>
            <w:bottom w:w="0" w:type="dxa"/>
            <w:right w:w="108" w:type="dxa"/>
          </w:tblCellMar>
        </w:tblPrEx>
        <w:tc>
          <w:tcPr>
            <w:tcW w:w="1608" w:type="dxa"/>
            <w:noWrap w:val="0"/>
            <w:vAlign w:val="top"/>
          </w:tcPr>
          <w:p w14:paraId="6C61070F">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法定代表人：</w:t>
            </w:r>
          </w:p>
        </w:tc>
        <w:tc>
          <w:tcPr>
            <w:tcW w:w="3017" w:type="dxa"/>
            <w:noWrap w:val="0"/>
            <w:vAlign w:val="top"/>
          </w:tcPr>
          <w:p w14:paraId="49224CFE">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u w:val="single"/>
              </w:rPr>
              <w:t xml:space="preserve">                   </w:t>
            </w:r>
          </w:p>
        </w:tc>
        <w:tc>
          <w:tcPr>
            <w:tcW w:w="1906" w:type="dxa"/>
            <w:noWrap w:val="0"/>
            <w:vAlign w:val="top"/>
          </w:tcPr>
          <w:p w14:paraId="6FA1D0D5">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法定代表人：</w:t>
            </w:r>
          </w:p>
        </w:tc>
        <w:tc>
          <w:tcPr>
            <w:tcW w:w="2647" w:type="dxa"/>
            <w:noWrap w:val="0"/>
            <w:vAlign w:val="top"/>
          </w:tcPr>
          <w:p w14:paraId="74275A98">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tc>
      </w:tr>
      <w:tr w14:paraId="25D5EF52">
        <w:tblPrEx>
          <w:tblCellMar>
            <w:top w:w="0" w:type="dxa"/>
            <w:left w:w="108" w:type="dxa"/>
            <w:bottom w:w="0" w:type="dxa"/>
            <w:right w:w="108" w:type="dxa"/>
          </w:tblCellMar>
        </w:tblPrEx>
        <w:tc>
          <w:tcPr>
            <w:tcW w:w="1608" w:type="dxa"/>
            <w:noWrap w:val="0"/>
            <w:vAlign w:val="top"/>
          </w:tcPr>
          <w:p w14:paraId="0053B234">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开户银行：</w:t>
            </w:r>
          </w:p>
        </w:tc>
        <w:tc>
          <w:tcPr>
            <w:tcW w:w="3017" w:type="dxa"/>
            <w:noWrap w:val="0"/>
            <w:vAlign w:val="top"/>
          </w:tcPr>
          <w:p w14:paraId="41A8446F">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u w:val="single"/>
              </w:rPr>
              <w:t>中国建设银行股份有限公司西安高新技术产业开发区支行</w:t>
            </w:r>
            <w:r>
              <w:rPr>
                <w:rFonts w:hint="eastAsia" w:ascii="仿宋" w:hAnsi="仿宋" w:eastAsia="仿宋" w:cs="仿宋"/>
                <w:color w:val="auto"/>
                <w:kern w:val="0"/>
                <w:sz w:val="28"/>
                <w:szCs w:val="28"/>
                <w:highlight w:val="none"/>
              </w:rPr>
              <w:t xml:space="preserve"> </w:t>
            </w:r>
          </w:p>
        </w:tc>
        <w:tc>
          <w:tcPr>
            <w:tcW w:w="1906" w:type="dxa"/>
            <w:noWrap w:val="0"/>
            <w:vAlign w:val="top"/>
          </w:tcPr>
          <w:p w14:paraId="3BDDC6E7">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开户银行：</w:t>
            </w:r>
          </w:p>
        </w:tc>
        <w:tc>
          <w:tcPr>
            <w:tcW w:w="2647" w:type="dxa"/>
            <w:noWrap w:val="0"/>
            <w:vAlign w:val="top"/>
          </w:tcPr>
          <w:p w14:paraId="5BD5FAFA">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tc>
      </w:tr>
      <w:tr w14:paraId="52213BC0">
        <w:tblPrEx>
          <w:tblCellMar>
            <w:top w:w="0" w:type="dxa"/>
            <w:left w:w="108" w:type="dxa"/>
            <w:bottom w:w="0" w:type="dxa"/>
            <w:right w:w="108" w:type="dxa"/>
          </w:tblCellMar>
        </w:tblPrEx>
        <w:tc>
          <w:tcPr>
            <w:tcW w:w="1608" w:type="dxa"/>
            <w:noWrap w:val="0"/>
            <w:vAlign w:val="top"/>
          </w:tcPr>
          <w:p w14:paraId="0C97DCD7">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账</w:t>
            </w:r>
            <w:r>
              <w:rPr>
                <w:rFonts w:hint="eastAsia" w:ascii="仿宋" w:hAnsi="仿宋" w:eastAsia="仿宋" w:cs="仿宋"/>
                <w:color w:val="auto"/>
                <w:kern w:val="0"/>
                <w:sz w:val="28"/>
                <w:szCs w:val="28"/>
                <w:highlight w:val="none"/>
              </w:rPr>
              <w:t>号：</w:t>
            </w:r>
          </w:p>
        </w:tc>
        <w:tc>
          <w:tcPr>
            <w:tcW w:w="3017" w:type="dxa"/>
            <w:noWrap w:val="0"/>
            <w:vAlign w:val="top"/>
          </w:tcPr>
          <w:p w14:paraId="6045D10A">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u w:val="single"/>
              </w:rPr>
              <w:t>61050192090000002984</w:t>
            </w:r>
            <w:r>
              <w:rPr>
                <w:rFonts w:hint="eastAsia" w:ascii="仿宋" w:hAnsi="仿宋" w:eastAsia="仿宋" w:cs="仿宋"/>
                <w:color w:val="auto"/>
                <w:kern w:val="0"/>
                <w:sz w:val="28"/>
                <w:szCs w:val="28"/>
                <w:highlight w:val="none"/>
              </w:rPr>
              <w:t xml:space="preserve"> </w:t>
            </w:r>
          </w:p>
        </w:tc>
        <w:tc>
          <w:tcPr>
            <w:tcW w:w="1906" w:type="dxa"/>
            <w:noWrap w:val="0"/>
            <w:vAlign w:val="top"/>
          </w:tcPr>
          <w:p w14:paraId="1DBB0AEE">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val="en-US" w:eastAsia="zh-CN"/>
              </w:rPr>
              <w:t>账</w:t>
            </w:r>
            <w:r>
              <w:rPr>
                <w:rFonts w:hint="eastAsia" w:ascii="仿宋" w:hAnsi="仿宋" w:eastAsia="仿宋" w:cs="仿宋"/>
                <w:color w:val="auto"/>
                <w:kern w:val="0"/>
                <w:sz w:val="28"/>
                <w:szCs w:val="28"/>
                <w:highlight w:val="none"/>
              </w:rPr>
              <w:t>号：</w:t>
            </w:r>
          </w:p>
        </w:tc>
        <w:tc>
          <w:tcPr>
            <w:tcW w:w="2647" w:type="dxa"/>
            <w:noWrap w:val="0"/>
            <w:vAlign w:val="top"/>
          </w:tcPr>
          <w:p w14:paraId="513A7542">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tc>
      </w:tr>
      <w:tr w14:paraId="0B14721D">
        <w:tblPrEx>
          <w:tblCellMar>
            <w:top w:w="0" w:type="dxa"/>
            <w:left w:w="108" w:type="dxa"/>
            <w:bottom w:w="0" w:type="dxa"/>
            <w:right w:w="108" w:type="dxa"/>
          </w:tblCellMar>
        </w:tblPrEx>
        <w:tc>
          <w:tcPr>
            <w:tcW w:w="1608" w:type="dxa"/>
            <w:noWrap w:val="0"/>
            <w:vAlign w:val="top"/>
          </w:tcPr>
          <w:p w14:paraId="4777C1E2">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邮编：</w:t>
            </w:r>
          </w:p>
        </w:tc>
        <w:tc>
          <w:tcPr>
            <w:tcW w:w="3017" w:type="dxa"/>
            <w:noWrap w:val="0"/>
            <w:vAlign w:val="top"/>
          </w:tcPr>
          <w:p w14:paraId="4B212CD0">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default" w:ascii="仿宋" w:hAnsi="仿宋" w:eastAsia="仿宋" w:cs="仿宋"/>
                <w:color w:val="auto"/>
                <w:kern w:val="0"/>
                <w:sz w:val="28"/>
                <w:szCs w:val="28"/>
                <w:highlight w:val="none"/>
                <w:u w:val="single"/>
                <w:lang w:val="en-US" w:eastAsia="zh-CN"/>
              </w:rPr>
            </w:pPr>
            <w:r>
              <w:rPr>
                <w:rFonts w:hint="eastAsia" w:ascii="仿宋" w:hAnsi="仿宋" w:eastAsia="仿宋" w:cs="仿宋"/>
                <w:color w:val="auto"/>
                <w:kern w:val="0"/>
                <w:sz w:val="28"/>
                <w:szCs w:val="28"/>
                <w:highlight w:val="none"/>
                <w:u w:val="single"/>
                <w:lang w:val="en-US" w:eastAsia="zh-CN"/>
              </w:rPr>
              <w:t>710000</w:t>
            </w:r>
          </w:p>
        </w:tc>
        <w:tc>
          <w:tcPr>
            <w:tcW w:w="1906" w:type="dxa"/>
            <w:noWrap w:val="0"/>
            <w:vAlign w:val="top"/>
          </w:tcPr>
          <w:p w14:paraId="729496ED">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邮编：</w:t>
            </w:r>
          </w:p>
        </w:tc>
        <w:tc>
          <w:tcPr>
            <w:tcW w:w="2647" w:type="dxa"/>
            <w:noWrap w:val="0"/>
            <w:vAlign w:val="top"/>
          </w:tcPr>
          <w:p w14:paraId="4D6C8671">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tc>
      </w:tr>
      <w:tr w14:paraId="41587AC2">
        <w:tblPrEx>
          <w:tblCellMar>
            <w:top w:w="0" w:type="dxa"/>
            <w:left w:w="108" w:type="dxa"/>
            <w:bottom w:w="0" w:type="dxa"/>
            <w:right w:w="108" w:type="dxa"/>
          </w:tblCellMar>
        </w:tblPrEx>
        <w:tc>
          <w:tcPr>
            <w:tcW w:w="1608" w:type="dxa"/>
            <w:noWrap w:val="0"/>
            <w:vAlign w:val="top"/>
          </w:tcPr>
          <w:p w14:paraId="35B0C149">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电话：</w:t>
            </w:r>
          </w:p>
        </w:tc>
        <w:tc>
          <w:tcPr>
            <w:tcW w:w="3017" w:type="dxa"/>
            <w:noWrap w:val="0"/>
            <w:vAlign w:val="top"/>
          </w:tcPr>
          <w:p w14:paraId="29BB1838">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u w:val="single"/>
              </w:rPr>
              <w:t>029-81150161</w:t>
            </w:r>
            <w:r>
              <w:rPr>
                <w:rFonts w:hint="eastAsia" w:ascii="仿宋" w:hAnsi="仿宋" w:eastAsia="仿宋" w:cs="仿宋"/>
                <w:color w:val="auto"/>
                <w:kern w:val="0"/>
                <w:sz w:val="28"/>
                <w:szCs w:val="28"/>
                <w:highlight w:val="none"/>
              </w:rPr>
              <w:t xml:space="preserve"> </w:t>
            </w:r>
          </w:p>
        </w:tc>
        <w:tc>
          <w:tcPr>
            <w:tcW w:w="1906" w:type="dxa"/>
            <w:noWrap w:val="0"/>
            <w:vAlign w:val="top"/>
          </w:tcPr>
          <w:p w14:paraId="1478E2CB">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电话：</w:t>
            </w:r>
          </w:p>
        </w:tc>
        <w:tc>
          <w:tcPr>
            <w:tcW w:w="2647" w:type="dxa"/>
            <w:noWrap w:val="0"/>
            <w:vAlign w:val="top"/>
          </w:tcPr>
          <w:p w14:paraId="32202E31">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 xml:space="preserve"> </w:t>
            </w:r>
          </w:p>
        </w:tc>
      </w:tr>
      <w:tr w14:paraId="016D844C">
        <w:tblPrEx>
          <w:tblCellMar>
            <w:top w:w="0" w:type="dxa"/>
            <w:left w:w="108" w:type="dxa"/>
            <w:bottom w:w="0" w:type="dxa"/>
            <w:right w:w="108" w:type="dxa"/>
          </w:tblCellMar>
        </w:tblPrEx>
        <w:tc>
          <w:tcPr>
            <w:tcW w:w="1608" w:type="dxa"/>
            <w:noWrap w:val="0"/>
            <w:vAlign w:val="top"/>
          </w:tcPr>
          <w:p w14:paraId="476CA184">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p>
        </w:tc>
        <w:tc>
          <w:tcPr>
            <w:tcW w:w="3017" w:type="dxa"/>
            <w:noWrap w:val="0"/>
            <w:vAlign w:val="top"/>
          </w:tcPr>
          <w:p w14:paraId="6C19AE50">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p>
        </w:tc>
        <w:tc>
          <w:tcPr>
            <w:tcW w:w="1906" w:type="dxa"/>
            <w:noWrap w:val="0"/>
            <w:vAlign w:val="top"/>
          </w:tcPr>
          <w:p w14:paraId="7335FD10">
            <w:pPr>
              <w:keepNext w:val="0"/>
              <w:keepLines w:val="0"/>
              <w:pageBreakBefore w:val="0"/>
              <w:widowControl/>
              <w:kinsoku/>
              <w:wordWrap/>
              <w:overflowPunct/>
              <w:topLinePunct w:val="0"/>
              <w:autoSpaceDE/>
              <w:autoSpaceDN/>
              <w:bidi w:val="0"/>
              <w:adjustRightInd/>
              <w:snapToGrid w:val="0"/>
              <w:spacing w:line="360" w:lineRule="auto"/>
              <w:ind w:left="0" w:leftChars="0" w:firstLine="1680" w:firstLineChars="600"/>
              <w:jc w:val="left"/>
              <w:textAlignment w:val="auto"/>
              <w:outlineLvl w:val="9"/>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 xml:space="preserve"> </w:t>
            </w:r>
            <w:r>
              <w:rPr>
                <w:rFonts w:hint="eastAsia" w:ascii="仿宋" w:hAnsi="仿宋" w:eastAsia="仿宋" w:cs="仿宋"/>
                <w:color w:val="auto"/>
                <w:kern w:val="0"/>
                <w:sz w:val="28"/>
                <w:szCs w:val="28"/>
                <w:highlight w:val="none"/>
              </w:rPr>
              <w:t>本合同签订于：</w:t>
            </w:r>
          </w:p>
        </w:tc>
        <w:tc>
          <w:tcPr>
            <w:tcW w:w="2647" w:type="dxa"/>
            <w:noWrap w:val="0"/>
            <w:vAlign w:val="top"/>
          </w:tcPr>
          <w:p w14:paraId="654CF593">
            <w:pPr>
              <w:keepNext w:val="0"/>
              <w:keepLines w:val="0"/>
              <w:pageBreakBefore w:val="0"/>
              <w:widowControl/>
              <w:kinsoku/>
              <w:wordWrap/>
              <w:overflowPunct/>
              <w:topLinePunct w:val="0"/>
              <w:autoSpaceDE/>
              <w:autoSpaceDN/>
              <w:bidi w:val="0"/>
              <w:adjustRightInd/>
              <w:snapToGrid w:val="0"/>
              <w:spacing w:line="360" w:lineRule="auto"/>
              <w:ind w:left="0" w:leftChars="0"/>
              <w:jc w:val="left"/>
              <w:textAlignment w:val="auto"/>
              <w:outlineLvl w:val="9"/>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 xml:space="preserve">                      </w:t>
            </w:r>
          </w:p>
        </w:tc>
      </w:tr>
    </w:tbl>
    <w:p w14:paraId="140FB819">
      <w:pPr>
        <w:pageBreakBefore w:val="0"/>
        <w:wordWrap/>
        <w:overflowPunct/>
        <w:topLinePunct w:val="0"/>
        <w:bidi w:val="0"/>
        <w:adjustRightInd w:val="0"/>
        <w:snapToGrid w:val="0"/>
        <w:spacing w:line="360" w:lineRule="auto"/>
        <w:jc w:val="center"/>
        <w:outlineLvl w:val="9"/>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br w:type="page"/>
      </w:r>
      <w:r>
        <w:rPr>
          <w:rFonts w:hint="eastAsia" w:ascii="仿宋" w:hAnsi="仿宋" w:eastAsia="仿宋" w:cs="仿宋"/>
          <w:b/>
          <w:color w:val="auto"/>
          <w:sz w:val="28"/>
          <w:szCs w:val="28"/>
          <w:highlight w:val="none"/>
        </w:rPr>
        <w:t>第二部分  通用条件</w:t>
      </w:r>
    </w:p>
    <w:p w14:paraId="254C195F">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1. 定义与解释</w:t>
      </w:r>
    </w:p>
    <w:p w14:paraId="629FEDC9">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outlineLvl w:val="9"/>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 xml:space="preserve">1.1 </w:t>
      </w:r>
      <w:r>
        <w:rPr>
          <w:rFonts w:hint="eastAsia" w:ascii="仿宋" w:hAnsi="仿宋" w:eastAsia="仿宋" w:cs="仿宋"/>
          <w:bCs/>
          <w:color w:val="auto"/>
          <w:sz w:val="28"/>
          <w:szCs w:val="28"/>
          <w:highlight w:val="none"/>
        </w:rPr>
        <w:t>定义</w:t>
      </w:r>
    </w:p>
    <w:p w14:paraId="628705E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除根据上下文另有其意义外，组成本合同的全部文件中的下列名词和用语应具有本款所赋予的含义：</w:t>
      </w:r>
    </w:p>
    <w:p w14:paraId="64F71F6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1.1.1 “工程”是指按照本合同约定实施监理与相关服务的建设工程。</w:t>
      </w:r>
    </w:p>
    <w:p w14:paraId="238D97A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1.1.2 “委托人”是指本合同中委托监理与相关服务的一方，及其合法的继承人或受让人。</w:t>
      </w:r>
    </w:p>
    <w:p w14:paraId="56D62E2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1.1.3 “监理人”是指本合同中提供监理与相关服务的一方，及其合法的继承人。</w:t>
      </w:r>
    </w:p>
    <w:p w14:paraId="3B6C506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1.1.4 “承包人”是指在工程范围内与委托人签订勘察、设计、施工等有关合同的当事人，及其合法的继承人。</w:t>
      </w:r>
    </w:p>
    <w:p w14:paraId="55F13AC4">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firstLine="570"/>
        <w:jc w:val="left"/>
        <w:textAlignment w:val="auto"/>
        <w:outlineLvl w:val="9"/>
        <w:rPr>
          <w:rFonts w:hint="eastAsia" w:ascii="仿宋" w:hAnsi="仿宋" w:eastAsia="仿宋" w:cs="仿宋"/>
          <w:color w:val="auto"/>
          <w:kern w:val="2"/>
          <w:sz w:val="28"/>
          <w:szCs w:val="28"/>
          <w:highlight w:val="none"/>
        </w:rPr>
      </w:pPr>
      <w:r>
        <w:rPr>
          <w:rFonts w:hint="eastAsia" w:ascii="仿宋" w:hAnsi="仿宋" w:eastAsia="仿宋" w:cs="仿宋"/>
          <w:color w:val="auto"/>
          <w:kern w:val="2"/>
          <w:sz w:val="28"/>
          <w:szCs w:val="28"/>
          <w:highlight w:val="none"/>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51125FA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1.1.6 “相关服务”是指监理人受委托人的委托 ，按照本合同约定，在勘察、设计、保修等阶段提供的服务活动。</w:t>
      </w:r>
    </w:p>
    <w:p w14:paraId="719E7C7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1.1.7 “正常工作”指本合同订立时通用条件和专用条件中约定的监理人的工作。</w:t>
      </w:r>
    </w:p>
    <w:p w14:paraId="3BD0C1E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1.1.8 “附加工作”是指本合同约定的正常工作以外监理人的工作。</w:t>
      </w:r>
    </w:p>
    <w:p w14:paraId="038A1BA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1.1.9 “项目监理机构”是指监理人派驻工程负责履行本合同的组织机构。</w:t>
      </w:r>
    </w:p>
    <w:p w14:paraId="4E3B72A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1.1.10 “总监理工程师”是指由监理人的法定代表人书面授权，全面负责履行本合同、主持项目监理机构工作的注册监理工程师。</w:t>
      </w:r>
    </w:p>
    <w:p w14:paraId="16BFE54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54" w:firstLineChars="198"/>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1.1.11 “酬金”是指监理人履行本合同义务，委托人按照本合同约定给付监理人的金额。</w:t>
      </w:r>
    </w:p>
    <w:p w14:paraId="51B1D5C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54" w:firstLineChars="198"/>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1.1.12 “正常工作</w:t>
      </w:r>
      <w:r>
        <w:rPr>
          <w:rFonts w:hint="eastAsia" w:ascii="仿宋" w:hAnsi="仿宋" w:eastAsia="仿宋" w:cs="仿宋"/>
          <w:color w:val="auto"/>
          <w:kern w:val="0"/>
          <w:sz w:val="28"/>
          <w:szCs w:val="28"/>
          <w:highlight w:val="none"/>
        </w:rPr>
        <w:t>酬金”</w:t>
      </w:r>
      <w:r>
        <w:rPr>
          <w:rFonts w:hint="eastAsia" w:ascii="仿宋" w:hAnsi="仿宋" w:eastAsia="仿宋" w:cs="仿宋"/>
          <w:color w:val="auto"/>
          <w:sz w:val="28"/>
          <w:szCs w:val="28"/>
          <w:highlight w:val="none"/>
        </w:rPr>
        <w:t>是指监理人完成正常工作，委托人应给付监理人并在协议书中载明的签约</w:t>
      </w:r>
      <w:r>
        <w:rPr>
          <w:rFonts w:hint="eastAsia" w:ascii="仿宋" w:hAnsi="仿宋" w:eastAsia="仿宋" w:cs="仿宋"/>
          <w:color w:val="auto"/>
          <w:kern w:val="0"/>
          <w:sz w:val="28"/>
          <w:szCs w:val="28"/>
          <w:highlight w:val="none"/>
        </w:rPr>
        <w:t>酬金额</w:t>
      </w:r>
      <w:r>
        <w:rPr>
          <w:rFonts w:hint="eastAsia" w:ascii="仿宋" w:hAnsi="仿宋" w:eastAsia="仿宋" w:cs="仿宋"/>
          <w:color w:val="auto"/>
          <w:sz w:val="28"/>
          <w:szCs w:val="28"/>
          <w:highlight w:val="none"/>
        </w:rPr>
        <w:t>。</w:t>
      </w:r>
    </w:p>
    <w:p w14:paraId="00ECB82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54" w:firstLineChars="198"/>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1.1.13 “附加工作酬金”是指监理人完成附加工作，委托人应给付监理人的金额。</w:t>
      </w:r>
    </w:p>
    <w:p w14:paraId="546E84A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1.1.14 “一方”是指委托人或监理人；“双方”是指委托人和监理人；“第三方”是指除委托人和监理人以外的有关方。</w:t>
      </w:r>
    </w:p>
    <w:p w14:paraId="2405590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1.1.15 “书面形式”是指合同书、信件和数据电文（包括电报、电传、传真、电子数据交换和电子邮件）等可以有形地表现所载内容的形式。</w:t>
      </w:r>
    </w:p>
    <w:p w14:paraId="3C57E3D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1.1.16 “天”是指第一天零时至第二天零时的时间。</w:t>
      </w:r>
    </w:p>
    <w:p w14:paraId="7CC002F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1.1.17“月”是指按公历从一个月中任何一天开始的一个公历月时间。</w:t>
      </w:r>
    </w:p>
    <w:p w14:paraId="00C887C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02AD98E1">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bCs/>
          <w:color w:val="auto"/>
          <w:sz w:val="28"/>
          <w:szCs w:val="28"/>
          <w:highlight w:val="none"/>
        </w:rPr>
        <w:t xml:space="preserve">1.2 </w:t>
      </w:r>
      <w:r>
        <w:rPr>
          <w:rFonts w:hint="eastAsia" w:ascii="仿宋" w:hAnsi="仿宋" w:eastAsia="仿宋" w:cs="仿宋"/>
          <w:color w:val="auto"/>
          <w:sz w:val="28"/>
          <w:szCs w:val="28"/>
          <w:highlight w:val="none"/>
        </w:rPr>
        <w:t>解释</w:t>
      </w:r>
    </w:p>
    <w:p w14:paraId="7CE694C2">
      <w:pPr>
        <w:keepNext w:val="0"/>
        <w:keepLines w:val="0"/>
        <w:pageBreakBefore w:val="0"/>
        <w:widowControl w:val="0"/>
        <w:tabs>
          <w:tab w:val="left" w:pos="6140"/>
        </w:tabs>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1.2.1本合同使用中文书写、解释和说明。如专用条件约定使用两种及以上语言文字时，应以中文为准。</w:t>
      </w:r>
    </w:p>
    <w:p w14:paraId="6707F836">
      <w:pPr>
        <w:keepNext w:val="0"/>
        <w:keepLines w:val="0"/>
        <w:pageBreakBefore w:val="0"/>
        <w:widowControl w:val="0"/>
        <w:tabs>
          <w:tab w:val="left" w:pos="6140"/>
        </w:tabs>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1.2.2 组成本合同的下列文件彼此应能相互解释、互为说明。除专用条件另有约定外，本合同文件的解释顺序如下：</w:t>
      </w:r>
    </w:p>
    <w:p w14:paraId="0D67AA3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（1）协议书；</w:t>
      </w:r>
    </w:p>
    <w:p w14:paraId="0C62A3B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成交</w:t>
      </w:r>
      <w:r>
        <w:rPr>
          <w:rFonts w:hint="eastAsia" w:ascii="仿宋" w:hAnsi="仿宋" w:eastAsia="仿宋" w:cs="仿宋"/>
          <w:color w:val="auto"/>
          <w:sz w:val="28"/>
          <w:szCs w:val="28"/>
          <w:highlight w:val="none"/>
        </w:rPr>
        <w:t>通知书（适用于招标工程）或委托书（适用于非招标工程）；</w:t>
      </w:r>
    </w:p>
    <w:p w14:paraId="51259A8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（3）专用条件及附录A、附录B；</w:t>
      </w:r>
    </w:p>
    <w:p w14:paraId="0E5F493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（4）通用条件；</w:t>
      </w:r>
    </w:p>
    <w:p w14:paraId="2A59F56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r>
        <w:rPr>
          <w:rFonts w:hint="eastAsia" w:ascii="仿宋" w:hAnsi="仿宋" w:eastAsia="仿宋" w:cs="仿宋"/>
          <w:color w:val="auto"/>
          <w:sz w:val="28"/>
          <w:szCs w:val="28"/>
          <w:highlight w:val="none"/>
          <w:lang w:val="en-US" w:eastAsia="zh-CN"/>
        </w:rPr>
        <w:t>响应</w:t>
      </w:r>
      <w:r>
        <w:rPr>
          <w:rFonts w:hint="eastAsia" w:ascii="仿宋" w:hAnsi="仿宋" w:eastAsia="仿宋" w:cs="仿宋"/>
          <w:color w:val="auto"/>
          <w:sz w:val="28"/>
          <w:szCs w:val="28"/>
          <w:highlight w:val="none"/>
        </w:rPr>
        <w:t>文件（适用于招标工程）或监理与相关服务建议书（适用于非招标工程）。</w:t>
      </w:r>
    </w:p>
    <w:p w14:paraId="194E77E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双方签订的补充协议与其他文件发生矛盾或歧义时，属于同一类内容的文件，应以最新签署的为准。</w:t>
      </w:r>
    </w:p>
    <w:p w14:paraId="0BFD71C6">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2. 监理人的义务</w:t>
      </w:r>
    </w:p>
    <w:p w14:paraId="430398CA">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2.1 监理的范围和工作内容</w:t>
      </w:r>
    </w:p>
    <w:p w14:paraId="141D6C56">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2.1.1 监理范围在专用条件中约定。</w:t>
      </w:r>
    </w:p>
    <w:p w14:paraId="0E5D70BF">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2.1.2 除专用条件另有约定外，监理工作内容包括：</w:t>
      </w:r>
    </w:p>
    <w:p w14:paraId="3C53E31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（1）收到工程设计文件后编制监理规划，并在第一次工地会议7天前报委托人。根据有关规定和监理工作需要，编制监理实施细则；</w:t>
      </w:r>
    </w:p>
    <w:p w14:paraId="74E398B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（2）熟悉工程设计文件，并参加由委托人主持的图纸会审和设计交底会议；</w:t>
      </w:r>
    </w:p>
    <w:p w14:paraId="36FA7A9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（3）参加由委托人主持的第一次工地会议；主持监理例会并根据工程需要主持或参加专题会议；</w:t>
      </w:r>
    </w:p>
    <w:p w14:paraId="04E0C24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（4）审查施工承包人提交的施工组织设计，重点审查其中的质量安全技术措施、专项施工方案与工程建设强制性标准的符合性；</w:t>
      </w:r>
    </w:p>
    <w:p w14:paraId="6F830DA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（5）检查施工承包人工程质量、安全生产管理制度及组织机构和人员资格； </w:t>
      </w:r>
    </w:p>
    <w:p w14:paraId="54BB0BBB">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（6）检查施工承包人专职安全生产管理人员的配备情况；</w:t>
      </w:r>
    </w:p>
    <w:p w14:paraId="26E4377E">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（7）审查施工承包人提交的施工进度计划，核查承包人对施工进度计划的调整；</w:t>
      </w:r>
    </w:p>
    <w:p w14:paraId="360E01F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（8）检查施工承包人的试验室；</w:t>
      </w:r>
    </w:p>
    <w:p w14:paraId="7B1F53B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（9）审核施工分包人资质条件；</w:t>
      </w:r>
    </w:p>
    <w:p w14:paraId="28DE556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（10）查验施工承包人的施工测量放线成果；</w:t>
      </w:r>
    </w:p>
    <w:p w14:paraId="455F1AE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（11）审查工程开工条件，对条件具备的签发开工令；</w:t>
      </w:r>
    </w:p>
    <w:p w14:paraId="153867B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（12）审查施工承包人报送的工程材料、构配件、设备质量证明文件的有效性和符合性，并按规定对用于工程的材料采取平行检验或见证取样方式进行抽检；</w:t>
      </w:r>
    </w:p>
    <w:p w14:paraId="4C93125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（13）审核施工承包人提交的工程款支付申请，签发或出具工程款支付证书，并报委托人审核、批准；</w:t>
      </w:r>
    </w:p>
    <w:p w14:paraId="490368F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（14）在巡视、旁站和检验过程中，发现工程质量、施工安全存在事故隐患的，要求施工承包人整改并报委托人；</w:t>
      </w:r>
    </w:p>
    <w:p w14:paraId="3DC689E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（15）经委托人同意，签发工程暂停令和复工令；</w:t>
      </w:r>
    </w:p>
    <w:p w14:paraId="645BD2F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（16）审查施工承包人提交的采用新材料、新工艺、新技术、新设备的论证材料及相关验收标准；</w:t>
      </w:r>
    </w:p>
    <w:p w14:paraId="21734EF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（17）验收隐蔽工程、分部分项工程；</w:t>
      </w:r>
    </w:p>
    <w:p w14:paraId="5E467EB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（18）审查施工承包人提交的工程变更申请，协调处理施工进度调整、费用索赔、合同争议等事项；</w:t>
      </w:r>
    </w:p>
    <w:p w14:paraId="30013FA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（19）审查施工承包人提交的竣工验收申请，编写工程质量评估报告；</w:t>
      </w:r>
    </w:p>
    <w:p w14:paraId="6694F2A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（20）参加工程竣工验收，签署竣工验收意见；</w:t>
      </w:r>
    </w:p>
    <w:p w14:paraId="5264292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（21）审查施工承包人提交的竣工结算申请并报委托人；</w:t>
      </w:r>
    </w:p>
    <w:p w14:paraId="25B5F21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（22）编制、整理工程监理归档文件并报委托人。</w:t>
      </w:r>
    </w:p>
    <w:p w14:paraId="389A383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40" w:firstLineChars="5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2.1.3 相关服务的范围和内容在附录A中约定。</w:t>
      </w:r>
    </w:p>
    <w:p w14:paraId="0FB7628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280" w:firstLineChars="10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 xml:space="preserve">2.2 </w:t>
      </w:r>
      <w:r>
        <w:rPr>
          <w:rFonts w:hint="eastAsia" w:ascii="仿宋" w:hAnsi="仿宋" w:eastAsia="仿宋" w:cs="仿宋"/>
          <w:bCs/>
          <w:color w:val="auto"/>
          <w:sz w:val="28"/>
          <w:szCs w:val="28"/>
          <w:highlight w:val="none"/>
        </w:rPr>
        <w:t>监理与相关服务依据</w:t>
      </w:r>
    </w:p>
    <w:p w14:paraId="1655F3A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2.2.1 监理依据包括：</w:t>
      </w:r>
    </w:p>
    <w:p w14:paraId="1E43F6B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700" w:firstLineChars="25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（1）适用的法律、行政法规及部门规章；</w:t>
      </w:r>
    </w:p>
    <w:p w14:paraId="359F1F6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700" w:firstLineChars="25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（2）与工程有关的标准；</w:t>
      </w:r>
    </w:p>
    <w:p w14:paraId="732AD72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700" w:firstLineChars="25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（3）工程设计及有关文件；</w:t>
      </w:r>
    </w:p>
    <w:p w14:paraId="641C837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700" w:firstLineChars="25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（4）本合同及委托人与第三方签订的与实施工程有关的其他合同。</w:t>
      </w:r>
    </w:p>
    <w:p w14:paraId="1CBE36B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双方根据工程的行业和地域特点，在专用条件中具体约定监理依据。</w:t>
      </w:r>
    </w:p>
    <w:p w14:paraId="299B7F0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2.2.2 相关服务依据在专用条件中约定。</w:t>
      </w:r>
    </w:p>
    <w:p w14:paraId="14D96F9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280" w:firstLineChars="1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2.3 项目监理机构和人员</w:t>
      </w:r>
    </w:p>
    <w:p w14:paraId="739DFF1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2.3.1 监理人应组建满足工作需要的项目监理机构，配备必要的检测设备。项目监理机构的主要人员应具有相应的资格条件。</w:t>
      </w:r>
    </w:p>
    <w:p w14:paraId="6CE3197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2.3.2本</w:t>
      </w:r>
      <w:r>
        <w:rPr>
          <w:rFonts w:hint="eastAsia" w:ascii="仿宋" w:hAnsi="仿宋" w:eastAsia="仿宋" w:cs="仿宋"/>
          <w:bCs/>
          <w:color w:val="auto"/>
          <w:sz w:val="28"/>
          <w:szCs w:val="28"/>
          <w:highlight w:val="none"/>
        </w:rPr>
        <w:t>合同</w:t>
      </w:r>
      <w:r>
        <w:rPr>
          <w:rFonts w:hint="eastAsia" w:ascii="仿宋" w:hAnsi="仿宋" w:eastAsia="仿宋" w:cs="仿宋"/>
          <w:color w:val="auto"/>
          <w:kern w:val="0"/>
          <w:sz w:val="28"/>
          <w:szCs w:val="28"/>
          <w:highlight w:val="none"/>
        </w:rPr>
        <w:t>履行过程中，总监理工程师及重要岗位监理人员应保持相对稳定，以保证监理工作正常进行。</w:t>
      </w:r>
    </w:p>
    <w:p w14:paraId="4E49DE2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3674404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2.3.4 监理人应及时更换有下列情形之一的监理人员：</w:t>
      </w:r>
    </w:p>
    <w:p w14:paraId="718CA56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（1）严重过失行为的；</w:t>
      </w:r>
    </w:p>
    <w:p w14:paraId="150B454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（2）有违法行为不能履行职责的；</w:t>
      </w:r>
    </w:p>
    <w:p w14:paraId="0957057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（3）涉嫌犯罪的；</w:t>
      </w:r>
    </w:p>
    <w:p w14:paraId="1BAB69E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（4）不能胜任岗位职责的；</w:t>
      </w:r>
    </w:p>
    <w:p w14:paraId="103E4BC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（5）严重违反职业道德的；</w:t>
      </w:r>
    </w:p>
    <w:p w14:paraId="6FA6948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（6）专用条件约定的其他情形。</w:t>
      </w:r>
    </w:p>
    <w:p w14:paraId="2DD11BA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2.3.5 委托人可要求监理人更换不能胜任本职工作的项目监理机构人员。</w:t>
      </w:r>
    </w:p>
    <w:p w14:paraId="43338A0A">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2.4 履行职责</w:t>
      </w:r>
    </w:p>
    <w:p w14:paraId="3D49EA7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监理人应遵循职业道德准则和行为规范，严格按照法律法规、工程建设有关标准及本合同履行职责。</w:t>
      </w:r>
    </w:p>
    <w:p w14:paraId="0F8B5DA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2.4.1 在监理与相关服务范围内，委托人和承包人提出的意见和要求，监理人应及时提出处置意见。当委托人与承包人之间发生合同争议时，监理人应协助委托人、承包人协商解决。</w:t>
      </w:r>
    </w:p>
    <w:p w14:paraId="5098E19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2.4.2 当委托人与承包人之间的合同争议提交仲裁机构仲裁或人民法院审理时，监理人应提供必要的证明资料。</w:t>
      </w:r>
    </w:p>
    <w:p w14:paraId="2FE876E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2.4.3 监理人应在专用条件约定的授权范围内，处理委托人与承包人所签订合同的变更事宜。如果变更超过授权范围，应以书面形式报委托人批准。</w:t>
      </w:r>
    </w:p>
    <w:p w14:paraId="109AAE2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在紧急情况下，为了保护财产和人身安全，监理人所发出的指令未能事先报委托人批准时，应在发出指令后的24小时内以书面形式报委托人。</w:t>
      </w:r>
    </w:p>
    <w:p w14:paraId="0C2F2C0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2.4.4 除专用条件另有约定外，监理人发现承包人的人员不能胜任本职工作的，有权要求承包人予以调换。</w:t>
      </w:r>
    </w:p>
    <w:p w14:paraId="71013406">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2.5 提交报告</w:t>
      </w:r>
    </w:p>
    <w:p w14:paraId="0DE64BD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监理人应按专用条件约定的种类、时间和份数向委托人提交监理与相关服务的报告。</w:t>
      </w:r>
    </w:p>
    <w:p w14:paraId="4CF636D8">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2.6 文件资料</w:t>
      </w:r>
    </w:p>
    <w:p w14:paraId="3BF25CD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在本合同履行期内，监理人应在现场保留工作所用的图纸、报告及记录监理工</w:t>
      </w:r>
      <w:r>
        <w:rPr>
          <w:rFonts w:hint="eastAsia" w:ascii="仿宋" w:hAnsi="仿宋" w:eastAsia="仿宋" w:cs="仿宋"/>
          <w:color w:val="auto"/>
          <w:sz w:val="28"/>
          <w:szCs w:val="28"/>
          <w:highlight w:val="none"/>
        </w:rPr>
        <w:t>作的相关文件。工程竣工后，应当按照档案管理规定将监理有关文件归档。</w:t>
      </w:r>
    </w:p>
    <w:p w14:paraId="1D6F6EDD">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2.7 使用委托人的财产</w:t>
      </w:r>
    </w:p>
    <w:p w14:paraId="05B12A3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41085985">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
          <w:color w:val="auto"/>
          <w:kern w:val="0"/>
          <w:sz w:val="28"/>
          <w:szCs w:val="28"/>
          <w:highlight w:val="none"/>
        </w:rPr>
      </w:pPr>
      <w:r>
        <w:rPr>
          <w:rFonts w:hint="eastAsia" w:ascii="仿宋" w:hAnsi="仿宋" w:eastAsia="仿宋" w:cs="仿宋"/>
          <w:b/>
          <w:color w:val="auto"/>
          <w:kern w:val="0"/>
          <w:sz w:val="28"/>
          <w:szCs w:val="28"/>
          <w:highlight w:val="none"/>
        </w:rPr>
        <w:t>3．委托人的义务</w:t>
      </w:r>
    </w:p>
    <w:p w14:paraId="4FA8063C">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3.1 告知</w:t>
      </w:r>
    </w:p>
    <w:p w14:paraId="56009D1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委托人应在委托人与承包人签订的合同中明确监理人、总监理工程师和授予项目监理机构的权限。如有变更，应及时通知承包人。</w:t>
      </w:r>
    </w:p>
    <w:p w14:paraId="1D5013B9">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3.2 提供资料</w:t>
      </w:r>
    </w:p>
    <w:p w14:paraId="76AF9DA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委托人应按照附录B约定，无偿向监理人提供工程有关的资料。</w:t>
      </w:r>
      <w:r>
        <w:rPr>
          <w:rFonts w:hint="eastAsia" w:ascii="仿宋" w:hAnsi="仿宋" w:eastAsia="仿宋" w:cs="仿宋"/>
          <w:color w:val="auto"/>
          <w:sz w:val="28"/>
          <w:szCs w:val="28"/>
          <w:highlight w:val="none"/>
        </w:rPr>
        <w:t>在本合同履行过程中，委托人应及时向监理人提供最新的与工程有关的资料。</w:t>
      </w:r>
    </w:p>
    <w:p w14:paraId="7FC2C2B5">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3.3 提供工作条件</w:t>
      </w:r>
    </w:p>
    <w:p w14:paraId="0FC9A6C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委托人应为</w:t>
      </w:r>
      <w:r>
        <w:rPr>
          <w:rFonts w:hint="eastAsia" w:ascii="仿宋" w:hAnsi="仿宋" w:eastAsia="仿宋" w:cs="仿宋"/>
          <w:color w:val="auto"/>
          <w:kern w:val="0"/>
          <w:sz w:val="28"/>
          <w:szCs w:val="28"/>
          <w:highlight w:val="none"/>
        </w:rPr>
        <w:t>监理</w:t>
      </w:r>
      <w:r>
        <w:rPr>
          <w:rFonts w:hint="eastAsia" w:ascii="仿宋" w:hAnsi="仿宋" w:eastAsia="仿宋" w:cs="仿宋"/>
          <w:color w:val="auto"/>
          <w:sz w:val="28"/>
          <w:szCs w:val="28"/>
          <w:highlight w:val="none"/>
        </w:rPr>
        <w:t>人完成监理与相关服务提供必要的条件。</w:t>
      </w:r>
    </w:p>
    <w:p w14:paraId="620717F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3.3.1 委托人</w:t>
      </w:r>
      <w:r>
        <w:rPr>
          <w:rFonts w:hint="eastAsia" w:ascii="仿宋" w:hAnsi="仿宋" w:eastAsia="仿宋" w:cs="仿宋"/>
          <w:color w:val="auto"/>
          <w:sz w:val="28"/>
          <w:szCs w:val="28"/>
          <w:highlight w:val="none"/>
        </w:rPr>
        <w:t>应按照附录B约定，派遣相应的人员，提供房屋、设备，供监理人</w:t>
      </w:r>
      <w:r>
        <w:rPr>
          <w:rFonts w:hint="eastAsia" w:ascii="仿宋" w:hAnsi="仿宋" w:eastAsia="仿宋" w:cs="仿宋"/>
          <w:color w:val="auto"/>
          <w:kern w:val="0"/>
          <w:sz w:val="28"/>
          <w:szCs w:val="28"/>
          <w:highlight w:val="none"/>
        </w:rPr>
        <w:t>无偿</w:t>
      </w:r>
      <w:r>
        <w:rPr>
          <w:rFonts w:hint="eastAsia" w:ascii="仿宋" w:hAnsi="仿宋" w:eastAsia="仿宋" w:cs="仿宋"/>
          <w:color w:val="auto"/>
          <w:sz w:val="28"/>
          <w:szCs w:val="28"/>
          <w:highlight w:val="none"/>
        </w:rPr>
        <w:t>使用。</w:t>
      </w:r>
    </w:p>
    <w:p w14:paraId="44F792F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3.3.2 委托人</w:t>
      </w:r>
      <w:r>
        <w:rPr>
          <w:rFonts w:hint="eastAsia" w:ascii="仿宋" w:hAnsi="仿宋" w:eastAsia="仿宋" w:cs="仿宋"/>
          <w:color w:val="auto"/>
          <w:sz w:val="28"/>
          <w:szCs w:val="28"/>
          <w:highlight w:val="none"/>
        </w:rPr>
        <w:t>应负责协调工程建设中所有外部关系，为监理人履行本合同提供必要的外部条件。</w:t>
      </w:r>
    </w:p>
    <w:p w14:paraId="4DF22885">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3.4 委托人代表</w:t>
      </w:r>
    </w:p>
    <w:p w14:paraId="7030082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委托人应授权一名熟悉工程情况的代表，负责与监理人联系。委托人应在双方签订本合同后7天内，将委托人代表的姓名和职责书面告知监理人。当委托人更换委托人代表时，应提前7天通知监理人。</w:t>
      </w:r>
    </w:p>
    <w:p w14:paraId="63D93E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3.5 委托人意见或要求</w:t>
      </w:r>
    </w:p>
    <w:p w14:paraId="1F7F043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645"/>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在本合同</w:t>
      </w:r>
      <w:r>
        <w:rPr>
          <w:rFonts w:hint="eastAsia" w:ascii="仿宋" w:hAnsi="仿宋" w:eastAsia="仿宋" w:cs="仿宋"/>
          <w:color w:val="auto"/>
          <w:kern w:val="0"/>
          <w:sz w:val="28"/>
          <w:szCs w:val="28"/>
          <w:highlight w:val="none"/>
        </w:rPr>
        <w:t>约定</w:t>
      </w:r>
      <w:r>
        <w:rPr>
          <w:rFonts w:hint="eastAsia" w:ascii="仿宋" w:hAnsi="仿宋" w:eastAsia="仿宋" w:cs="仿宋"/>
          <w:color w:val="auto"/>
          <w:sz w:val="28"/>
          <w:szCs w:val="28"/>
          <w:highlight w:val="none"/>
        </w:rPr>
        <w:t>的监理与相关服务工作范围内，委托人对承包人的任何意见或要求应通知监理人，由监理人向承包人发出相应指令。</w:t>
      </w:r>
    </w:p>
    <w:p w14:paraId="6E09BF81">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3.6 答复</w:t>
      </w:r>
    </w:p>
    <w:p w14:paraId="20136A3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委托人应在专用条件约定的时间内，对监理人以书面形式提交并要求作出决定的事宜，给予书面答复。逾期未答复的，视为委托人认可。</w:t>
      </w:r>
    </w:p>
    <w:p w14:paraId="400372BF">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3.7 支付</w:t>
      </w:r>
    </w:p>
    <w:p w14:paraId="622320B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委托人应按本合同约定，向监理人支付酬金。</w:t>
      </w:r>
    </w:p>
    <w:p w14:paraId="44B53910">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4. 违约责任</w:t>
      </w:r>
    </w:p>
    <w:p w14:paraId="19207B83">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4.1 监理人的违约责任</w:t>
      </w:r>
    </w:p>
    <w:p w14:paraId="59A72F2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监理人未履行本合同义务的，应承担相应的责任。</w:t>
      </w:r>
    </w:p>
    <w:p w14:paraId="31FA71A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4.1.1 因监理人违反本合同约定</w:t>
      </w:r>
      <w:r>
        <w:rPr>
          <w:rFonts w:hint="eastAsia" w:ascii="仿宋" w:hAnsi="仿宋" w:eastAsia="仿宋" w:cs="仿宋"/>
          <w:color w:val="auto"/>
          <w:sz w:val="28"/>
          <w:szCs w:val="28"/>
          <w:highlight w:val="none"/>
        </w:rPr>
        <w:t>给委托人造成损失的，监理人应当赔偿委托人损失</w:t>
      </w:r>
      <w:r>
        <w:rPr>
          <w:rFonts w:hint="eastAsia" w:ascii="仿宋" w:hAnsi="仿宋" w:eastAsia="仿宋" w:cs="仿宋"/>
          <w:color w:val="auto"/>
          <w:kern w:val="0"/>
          <w:sz w:val="28"/>
          <w:szCs w:val="28"/>
          <w:highlight w:val="none"/>
        </w:rPr>
        <w:t>。赔偿金额的确定方法在专用条件中约定。监理人承担部分赔偿责任的，其承担赔偿金额由双方协商确定。</w:t>
      </w:r>
    </w:p>
    <w:p w14:paraId="31DF096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4.1.2 监理人向委托人的索赔不成立时，监理人应赔偿委托人由此发生的费用。</w:t>
      </w:r>
    </w:p>
    <w:p w14:paraId="25BABB5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280" w:firstLineChars="1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4.2 委托人的违约责任</w:t>
      </w:r>
    </w:p>
    <w:p w14:paraId="4D74233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委托人未履行本合同义务的，应承担相应的责任。</w:t>
      </w:r>
    </w:p>
    <w:p w14:paraId="0DFB613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4.2.1 委托人违反本合同约定造成监理人损失的，委托人应予以赔偿。</w:t>
      </w:r>
    </w:p>
    <w:p w14:paraId="28C3893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4.2.2 委托人向监理人的索赔不成立时，应赔偿监理人由此引起的费用。</w:t>
      </w:r>
    </w:p>
    <w:p w14:paraId="0DFB27F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280" w:firstLineChars="1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4.3 除外责任</w:t>
      </w:r>
    </w:p>
    <w:p w14:paraId="75A77EC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因非监理人的</w:t>
      </w:r>
      <w:r>
        <w:rPr>
          <w:rFonts w:hint="eastAsia" w:ascii="仿宋" w:hAnsi="仿宋" w:eastAsia="仿宋" w:cs="仿宋"/>
          <w:color w:val="auto"/>
          <w:sz w:val="28"/>
          <w:szCs w:val="28"/>
          <w:highlight w:val="none"/>
        </w:rPr>
        <w:t>原因</w:t>
      </w:r>
      <w:r>
        <w:rPr>
          <w:rFonts w:hint="eastAsia" w:ascii="仿宋" w:hAnsi="仿宋" w:eastAsia="仿宋" w:cs="仿宋"/>
          <w:color w:val="auto"/>
          <w:kern w:val="0"/>
          <w:sz w:val="28"/>
          <w:szCs w:val="28"/>
          <w:highlight w:val="none"/>
        </w:rPr>
        <w:t>，且监理人无过错，发生工程质量事故、安全事故、工期延误等造成的损失，监理人不承担赔偿责任。</w:t>
      </w:r>
    </w:p>
    <w:p w14:paraId="230BE22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因不可抗力导致本合同全部或部分不能履行时，双方各自承担其因此而造成的损失、损害。</w:t>
      </w:r>
    </w:p>
    <w:p w14:paraId="4F4E7112">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5. 支付</w:t>
      </w:r>
    </w:p>
    <w:p w14:paraId="5566C2B8">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 xml:space="preserve">5.1 </w:t>
      </w:r>
      <w:r>
        <w:rPr>
          <w:rFonts w:hint="eastAsia" w:ascii="仿宋" w:hAnsi="仿宋" w:eastAsia="仿宋" w:cs="仿宋"/>
          <w:bCs/>
          <w:color w:val="auto"/>
          <w:sz w:val="28"/>
          <w:szCs w:val="28"/>
          <w:highlight w:val="none"/>
        </w:rPr>
        <w:t>支付货币</w:t>
      </w:r>
    </w:p>
    <w:p w14:paraId="5118180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除专用条件另有约定外，酬金均以人民币支付。涉及外币支付的，所采用的货币种类、比例和汇率在专用条件中约定。</w:t>
      </w:r>
    </w:p>
    <w:p w14:paraId="30484558">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5.2 支付申请</w:t>
      </w:r>
    </w:p>
    <w:p w14:paraId="1C8D1E7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监理人应在本合同约定的每次应付款时间的7天前，向委托人提交支付申请书。支付申请书应当说明当期应付款总额，并列出当期应支付的款项及其金额。</w:t>
      </w:r>
    </w:p>
    <w:p w14:paraId="67A6EB6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140" w:firstLineChars="5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5.3 支付酬金</w:t>
      </w:r>
    </w:p>
    <w:p w14:paraId="3E4040A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支付的酬金包括正常工作酬金、附加工作酬金、合理化建议奖励金额及费用。</w:t>
      </w:r>
    </w:p>
    <w:p w14:paraId="1C3FE9D7">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 xml:space="preserve">  5.4 </w:t>
      </w:r>
      <w:r>
        <w:rPr>
          <w:rFonts w:hint="eastAsia" w:ascii="仿宋" w:hAnsi="仿宋" w:eastAsia="仿宋" w:cs="仿宋"/>
          <w:bCs/>
          <w:color w:val="auto"/>
          <w:sz w:val="28"/>
          <w:szCs w:val="28"/>
          <w:highlight w:val="none"/>
        </w:rPr>
        <w:t>有争议部分的付款</w:t>
      </w:r>
    </w:p>
    <w:p w14:paraId="1C789E7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委托人对监理人提交的支付申请书有异议时，应当在收到监理人提交的支付申请书后7天内，以书面形式向监理人发出异议通知。无异议部分的款项应按期支付，有异议部分的款项按第7条约定办理。</w:t>
      </w:r>
    </w:p>
    <w:p w14:paraId="133DF04C">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6. 合同生效、变更、暂停、解除与终止</w:t>
      </w:r>
    </w:p>
    <w:p w14:paraId="68B4EEB1">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6.1生效</w:t>
      </w:r>
    </w:p>
    <w:p w14:paraId="5D8189E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除法律另有规定或者专用条件另有约定外，委托人和监理人的法定代表人或其授权代理人在协议书上签字并盖单位章后本合同生效。</w:t>
      </w:r>
    </w:p>
    <w:p w14:paraId="490EB2D9">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6.2</w:t>
      </w:r>
      <w:r>
        <w:rPr>
          <w:rFonts w:hint="eastAsia" w:ascii="仿宋" w:hAnsi="仿宋" w:eastAsia="仿宋" w:cs="仿宋"/>
          <w:bCs/>
          <w:color w:val="auto"/>
          <w:sz w:val="28"/>
          <w:szCs w:val="28"/>
          <w:highlight w:val="none"/>
        </w:rPr>
        <w:t>变更</w:t>
      </w:r>
    </w:p>
    <w:p w14:paraId="239C538A">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6.2.1 任何一方提出变更请求时，双方经协商一致后可进行变更。</w:t>
      </w:r>
    </w:p>
    <w:p w14:paraId="261C8F2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10EF32B7">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3F9BCD4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6.2.4合同签订后，遇有与工程相关的法律法规、标准颁布或修订的，双方应遵照执行。由此引起监理与相关服务的范围、时间、酬金变化的，双方应通过协商进行相应调整。</w:t>
      </w:r>
    </w:p>
    <w:p w14:paraId="5A43D87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6.2.5 因非监理人原因造成工程概算投资额或建筑安装工程费增加时，正常工作酬金应作相应调整。调整方法在专用条件中约定。</w:t>
      </w:r>
    </w:p>
    <w:p w14:paraId="53A700D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6.2.6 因工程规模、监理范围的变化导致监理人的正常工作量减少时，正常工作酬金应作相应调整。调整方法在专用条件中约定。</w:t>
      </w:r>
    </w:p>
    <w:p w14:paraId="239538BD">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 xml:space="preserve">  6.3 暂停与</w:t>
      </w:r>
      <w:r>
        <w:rPr>
          <w:rFonts w:hint="eastAsia" w:ascii="仿宋" w:hAnsi="仿宋" w:eastAsia="仿宋" w:cs="仿宋"/>
          <w:bCs/>
          <w:color w:val="auto"/>
          <w:sz w:val="28"/>
          <w:szCs w:val="28"/>
          <w:highlight w:val="none"/>
        </w:rPr>
        <w:t>解除</w:t>
      </w:r>
    </w:p>
    <w:p w14:paraId="662875A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除双方协商一致可以解除本合同外，当一方无正当理由未履行本合同约定的义务时，另一方可以根据本合同约定暂停履行本合同直至解除本合同。</w:t>
      </w:r>
    </w:p>
    <w:p w14:paraId="3FF1B37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6BED27D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因解除本合同或解除监理人的部分义务导致监理人遭受的损失，除依法可以免除责任的情况外，应由委托人予以补偿，补偿金额由双方协商确定。</w:t>
      </w:r>
    </w:p>
    <w:p w14:paraId="684C9C25">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解除本合同的协议必须采取书面形式，协议未达成之前，本合同仍然有效。</w:t>
      </w:r>
    </w:p>
    <w:p w14:paraId="4787D2A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723F741F">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w:t>
      </w:r>
      <w:r>
        <w:rPr>
          <w:rFonts w:hint="eastAsia" w:ascii="仿宋" w:hAnsi="仿宋" w:eastAsia="仿宋" w:cs="仿宋"/>
          <w:color w:val="auto"/>
          <w:kern w:val="0"/>
          <w:sz w:val="28"/>
          <w:szCs w:val="28"/>
          <w:highlight w:val="none"/>
        </w:rPr>
        <w:t>的</w:t>
      </w:r>
      <w:r>
        <w:rPr>
          <w:rFonts w:hint="eastAsia" w:ascii="仿宋" w:hAnsi="仿宋" w:eastAsia="仿宋" w:cs="仿宋"/>
          <w:color w:val="auto"/>
          <w:sz w:val="28"/>
          <w:szCs w:val="28"/>
          <w:highlight w:val="none"/>
        </w:rPr>
        <w:t>酬金支付至本合同解除日，且应承担第4.2款约定的责任。</w:t>
      </w:r>
    </w:p>
    <w:p w14:paraId="3FB2A11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w:t>
      </w:r>
      <w:r>
        <w:rPr>
          <w:rFonts w:hint="eastAsia" w:ascii="仿宋" w:hAnsi="仿宋" w:eastAsia="仿宋" w:cs="仿宋"/>
          <w:color w:val="auto"/>
          <w:kern w:val="0"/>
          <w:sz w:val="28"/>
          <w:szCs w:val="28"/>
          <w:highlight w:val="none"/>
        </w:rPr>
        <w:t>的</w:t>
      </w:r>
      <w:r>
        <w:rPr>
          <w:rFonts w:hint="eastAsia" w:ascii="仿宋" w:hAnsi="仿宋" w:eastAsia="仿宋" w:cs="仿宋"/>
          <w:color w:val="auto"/>
          <w:sz w:val="28"/>
          <w:szCs w:val="28"/>
          <w:highlight w:val="none"/>
        </w:rPr>
        <w:t>酬金支付至</w:t>
      </w:r>
      <w:r>
        <w:rPr>
          <w:rFonts w:hint="eastAsia" w:ascii="仿宋" w:hAnsi="仿宋" w:eastAsia="仿宋" w:cs="仿宋"/>
          <w:color w:val="auto"/>
          <w:kern w:val="0"/>
          <w:sz w:val="28"/>
          <w:szCs w:val="28"/>
          <w:highlight w:val="none"/>
        </w:rPr>
        <w:t>限期改正通知到达监理人之日</w:t>
      </w:r>
      <w:r>
        <w:rPr>
          <w:rFonts w:hint="eastAsia" w:ascii="仿宋" w:hAnsi="仿宋" w:eastAsia="仿宋" w:cs="仿宋"/>
          <w:color w:val="auto"/>
          <w:sz w:val="28"/>
          <w:szCs w:val="28"/>
          <w:highlight w:val="none"/>
        </w:rPr>
        <w:t>，但监理人应承担第4.1款约定的责任。</w:t>
      </w:r>
    </w:p>
    <w:p w14:paraId="055CCB2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7B053E64">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sz w:val="28"/>
          <w:szCs w:val="28"/>
          <w:highlight w:val="none"/>
        </w:rPr>
        <w:t>6.3.5 因不可抗力致使本合同部分或全部不能履行时，一方应立即通知另一方，可暂停或解除本合同。</w:t>
      </w:r>
    </w:p>
    <w:p w14:paraId="58001B7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6.3.6 本合同解除后，本合同约定的有关结算、清理、争议解决方式的条件仍然有效。</w:t>
      </w:r>
    </w:p>
    <w:p w14:paraId="35B4A252">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 xml:space="preserve">6.4 </w:t>
      </w:r>
      <w:r>
        <w:rPr>
          <w:rFonts w:hint="eastAsia" w:ascii="仿宋" w:hAnsi="仿宋" w:eastAsia="仿宋" w:cs="仿宋"/>
          <w:bCs/>
          <w:color w:val="auto"/>
          <w:sz w:val="28"/>
          <w:szCs w:val="28"/>
          <w:highlight w:val="none"/>
        </w:rPr>
        <w:t>终止</w:t>
      </w:r>
    </w:p>
    <w:p w14:paraId="5BDB2026">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以下条件全部满足时，本合同即告终止：</w:t>
      </w:r>
    </w:p>
    <w:p w14:paraId="622D199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（1）监理人完成本合同约定的全部工作；</w:t>
      </w:r>
    </w:p>
    <w:p w14:paraId="60B0526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（2）委托人与监理人结清并支付全部酬金。</w:t>
      </w:r>
    </w:p>
    <w:p w14:paraId="7F8F1EAD">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7. 争议解决</w:t>
      </w:r>
    </w:p>
    <w:p w14:paraId="5EE19C87">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7.1</w:t>
      </w:r>
      <w:r>
        <w:rPr>
          <w:rFonts w:hint="eastAsia" w:ascii="仿宋" w:hAnsi="仿宋" w:eastAsia="仿宋" w:cs="仿宋"/>
          <w:bCs/>
          <w:color w:val="auto"/>
          <w:sz w:val="28"/>
          <w:szCs w:val="28"/>
          <w:highlight w:val="none"/>
        </w:rPr>
        <w:t>协商</w:t>
      </w:r>
    </w:p>
    <w:p w14:paraId="2FCC39B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双方应本着诚信原则协商解决彼此间的争议。</w:t>
      </w:r>
    </w:p>
    <w:p w14:paraId="42BAA0DA">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7.2</w:t>
      </w:r>
      <w:r>
        <w:rPr>
          <w:rFonts w:hint="eastAsia" w:ascii="仿宋" w:hAnsi="仿宋" w:eastAsia="仿宋" w:cs="仿宋"/>
          <w:bCs/>
          <w:color w:val="auto"/>
          <w:sz w:val="28"/>
          <w:szCs w:val="28"/>
          <w:highlight w:val="none"/>
        </w:rPr>
        <w:t>调解</w:t>
      </w:r>
    </w:p>
    <w:p w14:paraId="012ADAF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如果双方不能在14天内或双方商定的其他时间内解决本合同争议，可以将其提交给专用条件约定的或事后达成协议的调解人进行调解。</w:t>
      </w:r>
    </w:p>
    <w:p w14:paraId="04A01F53">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7.3</w:t>
      </w:r>
      <w:r>
        <w:rPr>
          <w:rFonts w:hint="eastAsia" w:ascii="仿宋" w:hAnsi="仿宋" w:eastAsia="仿宋" w:cs="仿宋"/>
          <w:bCs/>
          <w:color w:val="auto"/>
          <w:sz w:val="28"/>
          <w:szCs w:val="28"/>
          <w:highlight w:val="none"/>
        </w:rPr>
        <w:t>仲裁或诉讼</w:t>
      </w:r>
    </w:p>
    <w:p w14:paraId="44BD7B9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双方均有权不经调解直接向专用条件约定的仲裁机构申请仲裁或向有管辖权的人民法院提起诉讼。</w:t>
      </w:r>
    </w:p>
    <w:p w14:paraId="1CBCCDCE">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8. 其他</w:t>
      </w:r>
    </w:p>
    <w:p w14:paraId="564632B5">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 xml:space="preserve">8.1 </w:t>
      </w:r>
      <w:r>
        <w:rPr>
          <w:rFonts w:hint="eastAsia" w:ascii="仿宋" w:hAnsi="仿宋" w:eastAsia="仿宋" w:cs="仿宋"/>
          <w:bCs/>
          <w:color w:val="auto"/>
          <w:sz w:val="28"/>
          <w:szCs w:val="28"/>
          <w:highlight w:val="none"/>
        </w:rPr>
        <w:t>外出考察费用</w:t>
      </w:r>
    </w:p>
    <w:p w14:paraId="05136C5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经委托人同意，监理人员外出考察发生的费用由委托人审核后支付。</w:t>
      </w:r>
    </w:p>
    <w:p w14:paraId="1D1B6A77">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 xml:space="preserve">8.2 </w:t>
      </w:r>
      <w:r>
        <w:rPr>
          <w:rFonts w:hint="eastAsia" w:ascii="仿宋" w:hAnsi="仿宋" w:eastAsia="仿宋" w:cs="仿宋"/>
          <w:bCs/>
          <w:color w:val="auto"/>
          <w:sz w:val="28"/>
          <w:szCs w:val="28"/>
          <w:highlight w:val="none"/>
        </w:rPr>
        <w:t>检测费用</w:t>
      </w:r>
    </w:p>
    <w:p w14:paraId="64EF5CF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委托人要求监理人进行的材料和设备检测所发生的费用，由委托人支付，支付时间在专用条件中约定。</w:t>
      </w:r>
    </w:p>
    <w:p w14:paraId="0E52E3F6">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 xml:space="preserve">8.3 </w:t>
      </w:r>
      <w:r>
        <w:rPr>
          <w:rFonts w:hint="eastAsia" w:ascii="仿宋" w:hAnsi="仿宋" w:eastAsia="仿宋" w:cs="仿宋"/>
          <w:bCs/>
          <w:color w:val="auto"/>
          <w:sz w:val="28"/>
          <w:szCs w:val="28"/>
          <w:highlight w:val="none"/>
        </w:rPr>
        <w:t>咨询费用</w:t>
      </w:r>
    </w:p>
    <w:p w14:paraId="1E1738F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经委托人同意，根据工程需要由监理人组织的相关咨询论证会以及聘请相关专家等发生的费用由委托人支付，支付时间在专用条件中约定。</w:t>
      </w:r>
    </w:p>
    <w:p w14:paraId="01B72D1E">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 xml:space="preserve">8.4 </w:t>
      </w:r>
      <w:r>
        <w:rPr>
          <w:rFonts w:hint="eastAsia" w:ascii="仿宋" w:hAnsi="仿宋" w:eastAsia="仿宋" w:cs="仿宋"/>
          <w:bCs/>
          <w:color w:val="auto"/>
          <w:sz w:val="28"/>
          <w:szCs w:val="28"/>
          <w:highlight w:val="none"/>
        </w:rPr>
        <w:t>奖励</w:t>
      </w:r>
    </w:p>
    <w:p w14:paraId="069DD69D">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监理人在服务过程中提出的合理化建议，使委托人获得经济效益的，双方在专用条件中约定奖励金额的确定方法。奖励金额在合理化建议被采纳后，与最近一期的正常工作酬金同期支付。</w:t>
      </w:r>
    </w:p>
    <w:p w14:paraId="4CE5411A">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 xml:space="preserve">8.5 </w:t>
      </w:r>
      <w:r>
        <w:rPr>
          <w:rFonts w:hint="eastAsia" w:ascii="仿宋" w:hAnsi="仿宋" w:eastAsia="仿宋" w:cs="仿宋"/>
          <w:bCs/>
          <w:color w:val="auto"/>
          <w:sz w:val="28"/>
          <w:szCs w:val="28"/>
          <w:highlight w:val="none"/>
        </w:rPr>
        <w:t>守法诚信</w:t>
      </w:r>
    </w:p>
    <w:p w14:paraId="5A14B763">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监理人及其工作人员不得从与实施工程有关的第三方处获得任何经济利益。</w:t>
      </w:r>
    </w:p>
    <w:p w14:paraId="01ADEA07">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 xml:space="preserve">8.6 </w:t>
      </w:r>
      <w:r>
        <w:rPr>
          <w:rFonts w:hint="eastAsia" w:ascii="仿宋" w:hAnsi="仿宋" w:eastAsia="仿宋" w:cs="仿宋"/>
          <w:bCs/>
          <w:color w:val="auto"/>
          <w:sz w:val="28"/>
          <w:szCs w:val="28"/>
          <w:highlight w:val="none"/>
        </w:rPr>
        <w:t>保密</w:t>
      </w:r>
    </w:p>
    <w:p w14:paraId="16538770">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双方不得泄露对方申明的保密资料，亦不得泄露与实施工程有关的第三方所提供的保密资料，保密事项在专用条件中约定。</w:t>
      </w:r>
    </w:p>
    <w:p w14:paraId="48B4966A">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 xml:space="preserve">8.7 </w:t>
      </w:r>
      <w:r>
        <w:rPr>
          <w:rFonts w:hint="eastAsia" w:ascii="仿宋" w:hAnsi="仿宋" w:eastAsia="仿宋" w:cs="仿宋"/>
          <w:bCs/>
          <w:color w:val="auto"/>
          <w:sz w:val="28"/>
          <w:szCs w:val="28"/>
          <w:highlight w:val="none"/>
        </w:rPr>
        <w:t>通知</w:t>
      </w:r>
    </w:p>
    <w:p w14:paraId="38257E22">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本合同涉及的通知均应当采用书面形式，并在送达对方时生效，收件人应书面签收。</w:t>
      </w:r>
    </w:p>
    <w:p w14:paraId="074D48C0">
      <w:pPr>
        <w:keepNext w:val="0"/>
        <w:keepLines w:val="0"/>
        <w:pageBreakBefore w:val="0"/>
        <w:widowControl w:val="0"/>
        <w:kinsoku/>
        <w:wordWrap/>
        <w:overflowPunct/>
        <w:topLinePunct w:val="0"/>
        <w:autoSpaceDE/>
        <w:autoSpaceDN/>
        <w:bidi w:val="0"/>
        <w:adjustRightInd w:val="0"/>
        <w:snapToGrid w:val="0"/>
        <w:spacing w:line="360" w:lineRule="auto"/>
        <w:ind w:left="0" w:leftChars="0"/>
        <w:jc w:val="left"/>
        <w:textAlignment w:val="auto"/>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 xml:space="preserve">8.8 </w:t>
      </w:r>
      <w:r>
        <w:rPr>
          <w:rFonts w:hint="eastAsia" w:ascii="仿宋" w:hAnsi="仿宋" w:eastAsia="仿宋" w:cs="仿宋"/>
          <w:bCs/>
          <w:color w:val="auto"/>
          <w:sz w:val="28"/>
          <w:szCs w:val="28"/>
          <w:highlight w:val="none"/>
        </w:rPr>
        <w:t>著作权</w:t>
      </w:r>
    </w:p>
    <w:p w14:paraId="7992279C">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监理人对其编制的文件拥有著作权。</w:t>
      </w:r>
    </w:p>
    <w:p w14:paraId="5DBFF28E">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3314F250">
      <w:pPr>
        <w:keepNext w:val="0"/>
        <w:keepLines w:val="0"/>
        <w:pageBreakBefore w:val="0"/>
        <w:wordWrap/>
        <w:overflowPunct/>
        <w:topLinePunct w:val="0"/>
        <w:bidi w:val="0"/>
        <w:adjustRightInd w:val="0"/>
        <w:snapToGrid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第三部分  专用条件</w:t>
      </w:r>
    </w:p>
    <w:p w14:paraId="04260979">
      <w:pPr>
        <w:keepNext w:val="0"/>
        <w:keepLines w:val="0"/>
        <w:pageBreakBefore w:val="0"/>
        <w:widowControl w:val="0"/>
        <w:kinsoku/>
        <w:wordWrap/>
        <w:overflowPunct/>
        <w:topLinePunct w:val="0"/>
        <w:autoSpaceDE/>
        <w:autoSpaceDN/>
        <w:bidi w:val="0"/>
        <w:adjustRightInd w:val="0"/>
        <w:snapToGrid/>
        <w:spacing w:line="360" w:lineRule="auto"/>
        <w:ind w:firstLine="562" w:firstLineChars="200"/>
        <w:jc w:val="lef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1.定义与解释</w:t>
      </w:r>
    </w:p>
    <w:p w14:paraId="28AA6E2C">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1.2解释</w:t>
      </w:r>
    </w:p>
    <w:p w14:paraId="14E2C2E5">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1.2.1本合同文件除使用中文外，还可用</w:t>
      </w:r>
      <w:r>
        <w:rPr>
          <w:rFonts w:hint="eastAsia" w:ascii="仿宋" w:hAnsi="仿宋" w:eastAsia="仿宋" w:cs="仿宋"/>
          <w:color w:val="auto"/>
          <w:sz w:val="28"/>
          <w:szCs w:val="28"/>
          <w:highlight w:val="none"/>
          <w:u w:val="single"/>
        </w:rPr>
        <w:t xml:space="preserve">  /  </w:t>
      </w:r>
      <w:r>
        <w:rPr>
          <w:rFonts w:hint="eastAsia" w:ascii="仿宋" w:hAnsi="仿宋" w:eastAsia="仿宋" w:cs="仿宋"/>
          <w:color w:val="auto"/>
          <w:sz w:val="28"/>
          <w:szCs w:val="28"/>
          <w:highlight w:val="none"/>
        </w:rPr>
        <w:t>。</w:t>
      </w:r>
    </w:p>
    <w:p w14:paraId="55717FEA">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1.2.2约定本合同文件的优先解释顺序为：</w:t>
      </w:r>
      <w:r>
        <w:rPr>
          <w:rFonts w:hint="eastAsia" w:ascii="仿宋" w:hAnsi="仿宋" w:eastAsia="仿宋" w:cs="仿宋"/>
          <w:color w:val="auto"/>
          <w:sz w:val="28"/>
          <w:szCs w:val="28"/>
          <w:highlight w:val="none"/>
          <w:u w:val="single"/>
        </w:rPr>
        <w:t>同通用条件</w:t>
      </w:r>
      <w:r>
        <w:rPr>
          <w:rFonts w:hint="eastAsia" w:ascii="仿宋" w:hAnsi="仿宋" w:eastAsia="仿宋" w:cs="仿宋"/>
          <w:color w:val="auto"/>
          <w:sz w:val="28"/>
          <w:szCs w:val="28"/>
          <w:highlight w:val="none"/>
        </w:rPr>
        <w:t>。</w:t>
      </w:r>
    </w:p>
    <w:p w14:paraId="16F1BA07">
      <w:pPr>
        <w:keepNext w:val="0"/>
        <w:keepLines w:val="0"/>
        <w:pageBreakBefore w:val="0"/>
        <w:widowControl w:val="0"/>
        <w:kinsoku/>
        <w:wordWrap/>
        <w:overflowPunct/>
        <w:topLinePunct w:val="0"/>
        <w:autoSpaceDE/>
        <w:autoSpaceDN/>
        <w:bidi w:val="0"/>
        <w:adjustRightInd w:val="0"/>
        <w:snapToGrid/>
        <w:spacing w:line="360" w:lineRule="auto"/>
        <w:ind w:firstLine="562" w:firstLineChars="200"/>
        <w:jc w:val="lef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2.监理人义务</w:t>
      </w:r>
    </w:p>
    <w:p w14:paraId="0302F557">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2.1监理的范围和内容</w:t>
      </w:r>
    </w:p>
    <w:p w14:paraId="5530C3F5">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2.1.1监理范围包括：</w:t>
      </w:r>
    </w:p>
    <w:p w14:paraId="412B7FEB">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kern w:val="0"/>
          <w:sz w:val="28"/>
          <w:szCs w:val="28"/>
          <w:highlight w:val="none"/>
          <w:u w:val="single"/>
        </w:rPr>
        <w:t>高新区枣林六街市政道路建设项目监理</w:t>
      </w:r>
      <w:r>
        <w:rPr>
          <w:rFonts w:hint="eastAsia" w:ascii="仿宋" w:hAnsi="仿宋" w:eastAsia="仿宋" w:cs="仿宋"/>
          <w:color w:val="auto"/>
          <w:sz w:val="28"/>
          <w:szCs w:val="28"/>
          <w:highlight w:val="none"/>
          <w:u w:val="single"/>
        </w:rPr>
        <w:t>项目工作。</w:t>
      </w:r>
    </w:p>
    <w:p w14:paraId="42BDFCC4">
      <w:pPr>
        <w:keepNext w:val="0"/>
        <w:keepLines w:val="0"/>
        <w:pageBreakBefore w:val="0"/>
        <w:widowControl w:val="0"/>
        <w:kinsoku/>
        <w:wordWrap/>
        <w:overflowPunct/>
        <w:topLinePunct w:val="0"/>
        <w:autoSpaceDE/>
        <w:autoSpaceDN/>
        <w:bidi w:val="0"/>
        <w:adjustRightInd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具体包括：对本工程监理项目的施工准备阶段、工程收尾阶段（包括但不限于竣工验收及竣工验收资料移交城建档案、整改、工程移交及实物移交、工程结算、竣工备案等）的质量、进度、投资控制、安全生产监督管理、合同、信息等方面的协调管理，监理人还须按委托人的要求提前进场参与开工前期的准备和筹划工作，协助委托人制定各参建方职责及有关事务性工作等。</w:t>
      </w:r>
    </w:p>
    <w:p w14:paraId="39DF7CF1">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2.1.2监理工作内容还包括：</w:t>
      </w:r>
    </w:p>
    <w:p w14:paraId="38CC1FB3">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（1）技术及图纸</w:t>
      </w:r>
    </w:p>
    <w:p w14:paraId="2CF1A434">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1）熟悉设计资料与施工合同文件；</w:t>
      </w:r>
    </w:p>
    <w:p w14:paraId="473653D0">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2）协助委托人组织设计单位、承包人及有关单位在开工前对设计图纸的会审、技术交底工作；</w:t>
      </w:r>
    </w:p>
    <w:p w14:paraId="6F07BF30">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3）组织有关单位（包括设计单位，承包人等）进行技术交底。对交底中澄清的问题做好记录，并整理成纪要报委托人备案；</w:t>
      </w:r>
    </w:p>
    <w:p w14:paraId="106A0E4F">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4）审阅并签发设计图纸和设计文件，解释承包人对图纸提出的疑问；</w:t>
      </w:r>
    </w:p>
    <w:p w14:paraId="434267CA">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 xml:space="preserve">5）参加由委托人主持的重大技术问题的讨论； </w:t>
      </w:r>
    </w:p>
    <w:p w14:paraId="23B000B1">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6）对于工程实施过程中发生的设计变更，应从对工程质量、进度、投资等三方面进行评估，提出意见并报委托人决策。</w:t>
      </w:r>
    </w:p>
    <w:p w14:paraId="75817110">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7）审查并批准承包人提交的施工组织设计，施工技术方案，技术计划，临建工程设计等；</w:t>
      </w:r>
    </w:p>
    <w:p w14:paraId="195B00EA">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8）会同设计单位对有关工程图纸的变更做出解释和说明，发出图纸变更令，在现场协助设计方代表解决施工期间出现的设计、技术问题。</w:t>
      </w:r>
    </w:p>
    <w:p w14:paraId="308F0FC3">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（2）进度控制</w:t>
      </w:r>
    </w:p>
    <w:p w14:paraId="0069F57D">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1）督促委托人按合同规定落实必须提供的施工条件，组织向承包人移交施工场地；检查承包人的开工准备情况：按照合同规定及授权，发布工程开工令；</w:t>
      </w:r>
    </w:p>
    <w:p w14:paraId="7E4EE684">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2）依据合同中确定的工程控制性进度计划，审查并批准承包人提交的施工总进度计划、资源配置，检查其实施情况，督促承包人实现合同工期目标；</w:t>
      </w:r>
    </w:p>
    <w:p w14:paraId="449A7B7D">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3）若发生由于承包人的原因使工期延误应督促承包人提出补救措施，如属于委托人的原因引起工期延误，应向委托人提出报告，并提出补救措施的意见供委托人决策；</w:t>
      </w:r>
    </w:p>
    <w:p w14:paraId="075510AC">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4）审查和批准承包人提出的施工方案和施工进度计划，负责控制进度，跟踪检查，记录计划的实施情况。当发生实际进度与计划进度有实质性偏差时，及时向承包人发出书面指示，向委托人提出“进度分析报告”；</w:t>
      </w:r>
    </w:p>
    <w:p w14:paraId="4D05E313">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5）主持监理合同授权范围内的有关协调工作，写出工程进度协调会议纪要提出监理对工程进度的意见；</w:t>
      </w:r>
    </w:p>
    <w:p w14:paraId="2A9519C9">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6）在收到承包人月进度报告后，7天内提出审查意见，并将审查意见及承包人的进度报告报委托人备案。</w:t>
      </w:r>
    </w:p>
    <w:p w14:paraId="349A26CF">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（3）质量控制</w:t>
      </w:r>
    </w:p>
    <w:p w14:paraId="79CCB441">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1）审查并批准承包人提交的施工组织设计，并将审查意见报委托人备案；</w:t>
      </w:r>
    </w:p>
    <w:p w14:paraId="3B89FC08">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2）核查承包人关键技术工程、岗位进场人员的资质，包括技术水平、工作能力、工作态度等，核查承包人的施工机械设备的数量、质量、种类、能力及状况，对于符合合同规定要求的人员和设备，有权令其更换或添置；</w:t>
      </w:r>
    </w:p>
    <w:p w14:paraId="623A72B4">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3）审批承包人的技术规范及施工规程等质量标准文件；</w:t>
      </w:r>
    </w:p>
    <w:p w14:paraId="6812CB8E">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4）审查承包人的质量控制体系和措施，检查质量文件落实情况。依据施工合同规定，对施工前的准备工作进行检查，对施工工序、资源投入进行监督。督促承包人严格执行合同中的技术规范，施工要求和图纸上的规定，确保质量满足合同要求；</w:t>
      </w:r>
    </w:p>
    <w:p w14:paraId="2A41522D">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5）审查、批准由承包人提交的质量检查要求和规定，依据合同与规范制定各类施工质量检查的补充规定，及时检查、抽查工程质量，特别是覆盖的基础工程和隐蔽工程；对工程质量进行签证和评定，严格控制工程质量。主要内容包括：</w:t>
      </w:r>
    </w:p>
    <w:p w14:paraId="03845105">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A．审批承包人在施工过程中各工序的质量自检报告，按施工合同的要求进行质量控制和评定；</w:t>
      </w:r>
    </w:p>
    <w:p w14:paraId="64BA08EE">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B．对承包人试验室的各种试验仪器及试验程序、成果进行全面检查；</w:t>
      </w:r>
    </w:p>
    <w:p w14:paraId="71E4D714">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C．承包人未按设计图纸、技术规范、操作规程进行施工时，依据合同应责令其停工、返工，并报告委托人；</w:t>
      </w:r>
    </w:p>
    <w:p w14:paraId="4AFA479C">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D．对未签证或验收不合格的工程，通知承包人限期返工，重新验收合格，方可进入下一道工序，或交付使用，并及时报告委托人。</w:t>
      </w:r>
    </w:p>
    <w:p w14:paraId="658C7FED">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E．审查用于永久工程的各种工程材料，构件的合格证，材质化验单，严禁使用不合格产品，并监督期退场；</w:t>
      </w:r>
    </w:p>
    <w:p w14:paraId="655EE076">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F．制定现场工程监理工作制度，在施工现场对工程质量、安全、施工活动等进行跟班检查，关键工序实行旁站监理，并做好现场旁站记录和监理日记，填写大事记。定期召开监理例会，及时向委托人通报监理情况及工程的有关事宜；</w:t>
      </w:r>
    </w:p>
    <w:p w14:paraId="354ABCD8">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G．监督检查承包人的施工测量工作；</w:t>
      </w:r>
    </w:p>
    <w:p w14:paraId="25C29245">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H．对已完成的施工工序，提出明确的评价意见。重大质量问题的处理方案报委托人确认后执行；</w:t>
      </w:r>
    </w:p>
    <w:p w14:paraId="1C5A76C6">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I．根据国家有关验收规程和合同规定，组织隐蔽工程验收和各工序、分项、分部工程及各单项工程验收。审查承包人提交的阶段验收和竣工验收有关资料，参加阶段验收和竣工验收，审查《工程竣工报告书》，提出整改意见，编写《工程质量评估报告》及整理监理资料；依据合同签发竣工证书，颁发保修合格证书；参与工程移交，同时做好各种资料的收集、整理、归档工作，协助委托人办理竣工验收及备案手续。</w:t>
      </w:r>
    </w:p>
    <w:p w14:paraId="18815F9D">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6）监督、检查承包人安全施工、文明施工。</w:t>
      </w:r>
    </w:p>
    <w:p w14:paraId="63F66E22">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（4）投资控制</w:t>
      </w:r>
    </w:p>
    <w:p w14:paraId="1E5CC5B3">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1）审查承包人提交的计量申请，签发工程计量认证书。审查承包人提交的支付申请，按施工合同规定，签发支付证书，工程结束时，核实最终工程量，审核承包人的施工过程工程结算及最终竣工结算，报委托人批准；</w:t>
      </w:r>
    </w:p>
    <w:p w14:paraId="7A2264D1">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2）按照合同规定及委托人授权，确定工程变更项目，分析并与各方协商确定变更的工程与费用，发布变更指令；</w:t>
      </w:r>
    </w:p>
    <w:p w14:paraId="728658F6">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u w:val="single"/>
        </w:rPr>
        <w:t>3）工程承包合同约定的工程价格范围内，工程款支付的审核和签认，未经总监理工程师签字确认，委托人不支付工程款；</w:t>
      </w:r>
      <w:r>
        <w:rPr>
          <w:rFonts w:hint="eastAsia" w:ascii="仿宋" w:hAnsi="仿宋" w:eastAsia="仿宋" w:cs="仿宋"/>
          <w:color w:val="auto"/>
          <w:sz w:val="28"/>
          <w:szCs w:val="28"/>
          <w:highlight w:val="none"/>
          <w:u w:val="single"/>
          <w:lang w:val="en-US" w:eastAsia="zh-CN"/>
        </w:rPr>
        <w:t>材料（设备）认价的</w:t>
      </w:r>
      <w:r>
        <w:rPr>
          <w:rFonts w:hint="eastAsia" w:ascii="仿宋" w:hAnsi="仿宋" w:eastAsia="仿宋" w:cs="仿宋"/>
          <w:color w:val="auto"/>
          <w:sz w:val="28"/>
          <w:szCs w:val="28"/>
          <w:highlight w:val="none"/>
          <w:u w:val="single"/>
        </w:rPr>
        <w:t>审核和签认</w:t>
      </w:r>
      <w:r>
        <w:rPr>
          <w:rFonts w:hint="eastAsia" w:ascii="仿宋" w:hAnsi="仿宋" w:eastAsia="仿宋" w:cs="仿宋"/>
          <w:color w:val="auto"/>
          <w:sz w:val="28"/>
          <w:szCs w:val="28"/>
          <w:highlight w:val="none"/>
          <w:u w:val="single"/>
          <w:lang w:eastAsia="zh-CN"/>
        </w:rPr>
        <w:t>。</w:t>
      </w:r>
    </w:p>
    <w:p w14:paraId="30DB97C0">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4）办理委托人决定更改、增减工程内容、数量事宜，审理承包人申报的有关工程更改的请求，提出处理意见，并报委托人签认；所有变更必须经委托人书面同意后方能实施。</w:t>
      </w:r>
    </w:p>
    <w:p w14:paraId="56DBF1DF">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（5）安全生产管理监督</w:t>
      </w:r>
    </w:p>
    <w:p w14:paraId="74BF4927">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1）审查施工单位安全生产管理体系；</w:t>
      </w:r>
    </w:p>
    <w:p w14:paraId="0C28298F">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2）审查施工单位安全生产领导组织机构；</w:t>
      </w:r>
    </w:p>
    <w:p w14:paraId="4D2D74D5">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3）审查施工单位安全生产管理措施；</w:t>
      </w:r>
    </w:p>
    <w:p w14:paraId="58BFF901">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4）检查安全生产管理措施及各种规章制度的执行和落实情况；</w:t>
      </w:r>
    </w:p>
    <w:p w14:paraId="39F94689">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5）组织有关单位定期进行安全联合检查；</w:t>
      </w:r>
    </w:p>
    <w:p w14:paraId="19D5E961">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6）发现安全事故或安全隐患问题及时会同有关各方进行解决；</w:t>
      </w:r>
    </w:p>
    <w:p w14:paraId="593752DF">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7）协助处理工程出现的质量事故和安全事故，参与重大质量、安全事故分析和处理。对突然发生的事故，可决定作出紧急措施，并及时向委托人报告；</w:t>
      </w:r>
    </w:p>
    <w:p w14:paraId="785A8AA4">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8）征得委托人同意，监理人下达工程暂停令，但应当事先向委托人报告。如在紧急情况下未能事先报告时，则应在24小时内向委托人作出书面报告。</w:t>
      </w:r>
    </w:p>
    <w:p w14:paraId="5C45D577">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（6）合同管理</w:t>
      </w:r>
    </w:p>
    <w:p w14:paraId="6ADF2CF3">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1）协助委托人核实承包人的资质及签订施工总承包合同和设备安装工程等承包合同；</w:t>
      </w:r>
    </w:p>
    <w:p w14:paraId="5677BA1D">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2）全面管理工程承包合同的执行；审查承包人选择的分包单位资质，分包项目及分包金额，并报委托人批准；全面掌握承包人的分包单位，项目负责人，技术</w:t>
      </w:r>
      <w:r>
        <w:rPr>
          <w:rFonts w:hint="eastAsia" w:ascii="仿宋" w:hAnsi="仿宋" w:eastAsia="仿宋" w:cs="仿宋"/>
          <w:color w:val="auto"/>
          <w:sz w:val="28"/>
          <w:szCs w:val="28"/>
          <w:highlight w:val="none"/>
          <w:u w:val="single"/>
          <w:lang w:val="en-US" w:eastAsia="zh-CN"/>
        </w:rPr>
        <w:t>负责人</w:t>
      </w:r>
      <w:r>
        <w:rPr>
          <w:rFonts w:hint="eastAsia" w:ascii="仿宋" w:hAnsi="仿宋" w:eastAsia="仿宋" w:cs="仿宋"/>
          <w:color w:val="auto"/>
          <w:sz w:val="28"/>
          <w:szCs w:val="28"/>
          <w:highlight w:val="none"/>
          <w:u w:val="single"/>
        </w:rPr>
        <w:t>基本情况，对不能满意地履行合同的任何成员提出警告直至逐出工地；</w:t>
      </w:r>
    </w:p>
    <w:p w14:paraId="57B4990A">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3）分析、研究评价承包人可能提出的索赔要求，参与研究并协助做出对索赔的处理意见和决定；</w:t>
      </w:r>
    </w:p>
    <w:p w14:paraId="2718B970">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4）参与工程合同争议、仲裁等有关问题的处理，提出必要的证据资料，意见和分析报告。</w:t>
      </w:r>
    </w:p>
    <w:p w14:paraId="15484C9B">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（7）信息管理及协调工作</w:t>
      </w:r>
    </w:p>
    <w:p w14:paraId="5246A53F">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1）核实并掌握工地的各种情况，详细记录工地与工程有关的所有信息，定期向委托人报告工地情况，重大或重要事项随时向委托人报告；</w:t>
      </w:r>
    </w:p>
    <w:p w14:paraId="022D945D">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2）按时提交旬报、月报、年报，包括进度分析、质量控制，投资分析等报告，以及各类专题报告，年终总结和最终监理报告；</w:t>
      </w:r>
    </w:p>
    <w:p w14:paraId="610980F4">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3）及时向委托人抄送监理单位和承包人之间的来往方函；</w:t>
      </w:r>
    </w:p>
    <w:p w14:paraId="7FBE7E27">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4）做好有关工程资料和文件的汇总管理工作，随时</w:t>
      </w:r>
      <w:r>
        <w:rPr>
          <w:rFonts w:hint="eastAsia" w:ascii="仿宋" w:hAnsi="仿宋" w:eastAsia="仿宋" w:cs="仿宋"/>
          <w:color w:val="auto"/>
          <w:sz w:val="28"/>
          <w:szCs w:val="28"/>
          <w:highlight w:val="none"/>
          <w:u w:val="single"/>
          <w:lang w:val="en-US" w:eastAsia="zh-CN"/>
        </w:rPr>
        <w:t>接受</w:t>
      </w:r>
      <w:r>
        <w:rPr>
          <w:rFonts w:hint="eastAsia" w:ascii="仿宋" w:hAnsi="仿宋" w:eastAsia="仿宋" w:cs="仿宋"/>
          <w:color w:val="auto"/>
          <w:sz w:val="28"/>
          <w:szCs w:val="28"/>
          <w:highlight w:val="none"/>
          <w:u w:val="single"/>
        </w:rPr>
        <w:t>委托人及政府有关质检部门的督促检查；</w:t>
      </w:r>
    </w:p>
    <w:p w14:paraId="06A260D8">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5）督促承包人提交完整的工程竣工验收资料；</w:t>
      </w:r>
    </w:p>
    <w:p w14:paraId="2ABECDBA">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6）协调参建单位之间的关系，对工程设计、工程承包合同出现的纠纷和索赔事项提出建议或意见；</w:t>
      </w:r>
    </w:p>
    <w:p w14:paraId="43DF835B">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2.2监理与相关服务依据</w:t>
      </w:r>
    </w:p>
    <w:p w14:paraId="12926FC0">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2.2.1监理依据包括但不限于：</w:t>
      </w:r>
    </w:p>
    <w:p w14:paraId="563317BF">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a国家工程建设的法律、法规、条款及有关政策规定，主管部门批准的建设计划、规划、设计文件。</w:t>
      </w:r>
    </w:p>
    <w:p w14:paraId="5CB94C37">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b委托人与总承包单位签订的合同或协议。</w:t>
      </w:r>
    </w:p>
    <w:p w14:paraId="26271E59">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c经批准的施工图纸及说明，经图纸会审确定的修改设计通知书。</w:t>
      </w:r>
    </w:p>
    <w:p w14:paraId="66825E4E">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d国家和地方现行的建筑工程质量评定标准、设计及施工验收规范。</w:t>
      </w:r>
    </w:p>
    <w:p w14:paraId="57D17010">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e当地现场预算定额、取费标准和有关建设管理办法。</w:t>
      </w:r>
    </w:p>
    <w:p w14:paraId="7F941D85">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f当地建设行政主管部门的有关法规和通知等。</w:t>
      </w:r>
    </w:p>
    <w:p w14:paraId="0AAA3A71">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g委托人发出的指令及与本工程有关的会议纪要和文件。</w:t>
      </w:r>
    </w:p>
    <w:p w14:paraId="701A9828">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h国家现行的勘察、设计规范和规程、《建筑工程施工及验收规范》、《工程质量检验评定标准》等有关标准。</w:t>
      </w:r>
    </w:p>
    <w:p w14:paraId="5E62323E">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i国家及地方政府相关规定。</w:t>
      </w:r>
    </w:p>
    <w:p w14:paraId="2FE486E0">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j该工程的施工设计总承包</w:t>
      </w:r>
      <w:bookmarkStart w:id="1" w:name="OLE_LINK26"/>
      <w:r>
        <w:rPr>
          <w:rFonts w:hint="eastAsia" w:ascii="仿宋" w:hAnsi="仿宋" w:eastAsia="仿宋" w:cs="仿宋"/>
          <w:color w:val="auto"/>
          <w:sz w:val="28"/>
          <w:szCs w:val="28"/>
          <w:highlight w:val="none"/>
          <w:u w:val="single"/>
          <w:lang w:val="en-US" w:eastAsia="zh-CN"/>
        </w:rPr>
        <w:t>竞争性响应文件</w:t>
      </w:r>
      <w:bookmarkEnd w:id="1"/>
      <w:r>
        <w:rPr>
          <w:rFonts w:hint="eastAsia" w:ascii="仿宋" w:hAnsi="仿宋" w:eastAsia="仿宋" w:cs="仿宋"/>
          <w:color w:val="auto"/>
          <w:sz w:val="28"/>
          <w:szCs w:val="28"/>
          <w:highlight w:val="none"/>
          <w:u w:val="single"/>
          <w:lang w:val="en-US" w:eastAsia="zh-CN"/>
        </w:rPr>
        <w:t>和竞争性磋商</w:t>
      </w:r>
      <w:r>
        <w:rPr>
          <w:rFonts w:hint="eastAsia" w:ascii="仿宋" w:hAnsi="仿宋" w:eastAsia="仿宋" w:cs="仿宋"/>
          <w:color w:val="auto"/>
          <w:sz w:val="28"/>
          <w:szCs w:val="28"/>
          <w:highlight w:val="none"/>
          <w:u w:val="single"/>
        </w:rPr>
        <w:t>文件。</w:t>
      </w:r>
    </w:p>
    <w:p w14:paraId="2EDB41CD">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k GB/T19001-2000质量保证标准。</w:t>
      </w:r>
    </w:p>
    <w:p w14:paraId="08E487AD">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2.3项目监理机构和人员</w:t>
      </w:r>
    </w:p>
    <w:p w14:paraId="4EAE410C">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2.3.1监理人应组建满足工作需要的项目监理机构，根据项目要求，应针对单体工程配备总监代表，每个单体项目配备不少于一个总监代表；配备必要的检测设备。项目监理机构的主要人员应具有相应的资格条件,且主要人员不能兼任。监理人需自行配备满足使用的办公用房、两辆以上的办公车辆。</w:t>
      </w:r>
    </w:p>
    <w:p w14:paraId="5A834415">
      <w:pPr>
        <w:widowControl w:val="0"/>
        <w:kinsoku/>
        <w:autoSpaceDE/>
        <w:autoSpaceDN/>
        <w:snapToGrid/>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总监理工程师：</w:t>
      </w:r>
    </w:p>
    <w:p w14:paraId="5AF2192B">
      <w:pPr>
        <w:widowControl w:val="0"/>
        <w:kinsoku/>
        <w:autoSpaceDE/>
        <w:autoSpaceDN/>
        <w:adjustRightInd/>
        <w:snapToGrid/>
        <w:spacing w:line="360" w:lineRule="auto"/>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总监理工程师姓名：</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none"/>
        </w:rPr>
        <w:t xml:space="preserve"> </w:t>
      </w:r>
      <w:r>
        <w:rPr>
          <w:rFonts w:hint="eastAsia" w:ascii="仿宋" w:hAnsi="仿宋" w:eastAsia="仿宋" w:cs="仿宋"/>
          <w:color w:val="auto"/>
          <w:kern w:val="0"/>
          <w:sz w:val="28"/>
          <w:szCs w:val="28"/>
          <w:highlight w:val="none"/>
        </w:rPr>
        <w:t>，身份证号码：</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rPr>
        <w:t>，</w:t>
      </w:r>
    </w:p>
    <w:p w14:paraId="45214BD1">
      <w:pPr>
        <w:widowControl w:val="0"/>
        <w:kinsoku/>
        <w:autoSpaceDE/>
        <w:autoSpaceDN/>
        <w:adjustRightInd/>
        <w:snapToGrid/>
        <w:spacing w:line="360" w:lineRule="auto"/>
        <w:ind w:firstLine="560" w:firstLineChars="200"/>
        <w:textAlignment w:val="auto"/>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kern w:val="0"/>
          <w:sz w:val="28"/>
          <w:szCs w:val="28"/>
          <w:highlight w:val="none"/>
        </w:rPr>
        <w:t>注册号：</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none"/>
        </w:rPr>
        <w:t>。</w:t>
      </w:r>
    </w:p>
    <w:p w14:paraId="7B143CA7">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p>
    <w:p w14:paraId="271AB629">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2.3.4更换监理人员的其他情形：</w:t>
      </w:r>
      <w:r>
        <w:rPr>
          <w:rFonts w:hint="eastAsia" w:ascii="仿宋" w:hAnsi="仿宋" w:eastAsia="仿宋" w:cs="仿宋"/>
          <w:color w:val="auto"/>
          <w:sz w:val="28"/>
          <w:szCs w:val="28"/>
          <w:highlight w:val="none"/>
          <w:u w:val="single"/>
        </w:rPr>
        <w:t>经委托人日常考察不合格或不能满足监理工作要求的。</w:t>
      </w:r>
    </w:p>
    <w:p w14:paraId="1ED7AC73">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2.4履行职责</w:t>
      </w:r>
    </w:p>
    <w:p w14:paraId="603E65D9">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2.4.3对监理人的授权范围：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09C7FA11">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在涉及工程延期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天内和（或）金额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万元内的变更，监理人不需请示委托人即可向承包人发布变更通知。</w:t>
      </w:r>
    </w:p>
    <w:p w14:paraId="20DB7A7A">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2.4.4监理人有权要求承包人调换其人员的限制条件：</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5E84507F">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2.5提交报告</w:t>
      </w:r>
    </w:p>
    <w:p w14:paraId="50C9D00A">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监理人应提交报告的种类、时间和份数：</w:t>
      </w:r>
    </w:p>
    <w:p w14:paraId="2A5953E4">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监理单位进场前，提供符合甲方要求的监理规划大纲，监理过程中应定期报送监理月报和阶段性工作总结、重大事件报告（报送内容和方式另定）</w:t>
      </w:r>
      <w:r>
        <w:rPr>
          <w:rFonts w:hint="eastAsia" w:ascii="仿宋" w:hAnsi="仿宋" w:eastAsia="仿宋" w:cs="仿宋"/>
          <w:color w:val="auto"/>
          <w:sz w:val="28"/>
          <w:szCs w:val="28"/>
          <w:highlight w:val="none"/>
        </w:rPr>
        <w:t>。</w:t>
      </w:r>
    </w:p>
    <w:p w14:paraId="4A32DABE">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监理规划：合同签订后7日内，提交3份；</w:t>
      </w:r>
    </w:p>
    <w:p w14:paraId="787E6697">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监理月报：施工月最后一个工作日，提交3份；</w:t>
      </w:r>
    </w:p>
    <w:p w14:paraId="2EBB3ADD">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监理会议纪要（经参会各方会签）：会议结束后第二个工作日，提交6份</w:t>
      </w:r>
      <w:r>
        <w:rPr>
          <w:rFonts w:hint="eastAsia" w:ascii="仿宋" w:hAnsi="仿宋" w:eastAsia="仿宋" w:cs="仿宋"/>
          <w:color w:val="auto"/>
          <w:sz w:val="28"/>
          <w:szCs w:val="28"/>
          <w:highlight w:val="none"/>
        </w:rPr>
        <w:t>；</w:t>
      </w:r>
    </w:p>
    <w:p w14:paraId="584BA7A8">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其余各项报告种类、时间和份数由双方根据具体情况商定。</w:t>
      </w:r>
    </w:p>
    <w:p w14:paraId="1FF16208">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2.7使用委托人的财产</w:t>
      </w:r>
    </w:p>
    <w:p w14:paraId="36E7D86E">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附录B中由委托人无偿提供的房屋、设备的所有权属于：</w:t>
      </w:r>
      <w:r>
        <w:rPr>
          <w:rFonts w:hint="eastAsia" w:ascii="仿宋" w:hAnsi="仿宋" w:eastAsia="仿宋" w:cs="仿宋"/>
          <w:color w:val="auto"/>
          <w:sz w:val="28"/>
          <w:szCs w:val="28"/>
          <w:highlight w:val="none"/>
          <w:u w:val="single"/>
        </w:rPr>
        <w:t>委托人或委托人指定单位</w:t>
      </w:r>
      <w:r>
        <w:rPr>
          <w:rFonts w:hint="eastAsia" w:ascii="仿宋" w:hAnsi="仿宋" w:eastAsia="仿宋" w:cs="仿宋"/>
          <w:color w:val="auto"/>
          <w:sz w:val="28"/>
          <w:szCs w:val="28"/>
          <w:highlight w:val="none"/>
        </w:rPr>
        <w:t>。</w:t>
      </w:r>
    </w:p>
    <w:p w14:paraId="4FF7C60E">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监理人应在本合同终止后</w:t>
      </w:r>
      <w:r>
        <w:rPr>
          <w:rFonts w:hint="eastAsia" w:ascii="仿宋" w:hAnsi="仿宋" w:eastAsia="仿宋" w:cs="仿宋"/>
          <w:color w:val="auto"/>
          <w:sz w:val="28"/>
          <w:szCs w:val="28"/>
          <w:highlight w:val="none"/>
          <w:u w:val="single"/>
        </w:rPr>
        <w:t>15天</w:t>
      </w:r>
      <w:r>
        <w:rPr>
          <w:rFonts w:hint="eastAsia" w:ascii="仿宋" w:hAnsi="仿宋" w:eastAsia="仿宋" w:cs="仿宋"/>
          <w:color w:val="auto"/>
          <w:sz w:val="28"/>
          <w:szCs w:val="28"/>
          <w:highlight w:val="none"/>
        </w:rPr>
        <w:t>内移交委托人无偿提供的房屋、设备、移交的时间和方式为：</w:t>
      </w:r>
      <w:r>
        <w:rPr>
          <w:rFonts w:hint="eastAsia" w:ascii="仿宋" w:hAnsi="仿宋" w:eastAsia="仿宋" w:cs="仿宋"/>
          <w:color w:val="auto"/>
          <w:sz w:val="28"/>
          <w:szCs w:val="28"/>
          <w:highlight w:val="none"/>
          <w:u w:val="single"/>
        </w:rPr>
        <w:t xml:space="preserve">现场清点、移交 </w:t>
      </w:r>
      <w:r>
        <w:rPr>
          <w:rFonts w:hint="eastAsia" w:ascii="仿宋" w:hAnsi="仿宋" w:eastAsia="仿宋" w:cs="仿宋"/>
          <w:color w:val="auto"/>
          <w:sz w:val="28"/>
          <w:szCs w:val="28"/>
          <w:highlight w:val="none"/>
        </w:rPr>
        <w:t>。</w:t>
      </w:r>
    </w:p>
    <w:p w14:paraId="4419CBD6">
      <w:pPr>
        <w:keepNext w:val="0"/>
        <w:keepLines w:val="0"/>
        <w:pageBreakBefore w:val="0"/>
        <w:widowControl w:val="0"/>
        <w:kinsoku/>
        <w:wordWrap/>
        <w:overflowPunct/>
        <w:topLinePunct w:val="0"/>
        <w:autoSpaceDE/>
        <w:autoSpaceDN/>
        <w:bidi w:val="0"/>
        <w:snapToGrid/>
        <w:spacing w:line="360" w:lineRule="auto"/>
        <w:ind w:firstLine="562" w:firstLineChars="200"/>
        <w:jc w:val="lef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3．委托人义务</w:t>
      </w:r>
    </w:p>
    <w:p w14:paraId="46265C76">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3.4委托人代表</w:t>
      </w:r>
    </w:p>
    <w:p w14:paraId="5F2546A7">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委托人代表为：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1C64A429">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3.6答复</w:t>
      </w:r>
    </w:p>
    <w:p w14:paraId="587B2BB4">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委托人同意在</w:t>
      </w:r>
      <w:r>
        <w:rPr>
          <w:rFonts w:hint="eastAsia" w:ascii="仿宋" w:hAnsi="仿宋" w:eastAsia="仿宋" w:cs="仿宋"/>
          <w:color w:val="auto"/>
          <w:sz w:val="28"/>
          <w:szCs w:val="28"/>
          <w:highlight w:val="none"/>
          <w:u w:val="single"/>
        </w:rPr>
        <w:t>5个工作日</w:t>
      </w:r>
      <w:r>
        <w:rPr>
          <w:rFonts w:hint="eastAsia" w:ascii="仿宋" w:hAnsi="仿宋" w:eastAsia="仿宋" w:cs="仿宋"/>
          <w:color w:val="auto"/>
          <w:sz w:val="28"/>
          <w:szCs w:val="28"/>
          <w:highlight w:val="none"/>
        </w:rPr>
        <w:t>内，对监理人书面提交并要求做出决定的事宜给予书面答复。</w:t>
      </w:r>
    </w:p>
    <w:p w14:paraId="214C2C31">
      <w:pPr>
        <w:keepNext w:val="0"/>
        <w:keepLines w:val="0"/>
        <w:pageBreakBefore w:val="0"/>
        <w:widowControl w:val="0"/>
        <w:kinsoku/>
        <w:wordWrap/>
        <w:overflowPunct/>
        <w:topLinePunct w:val="0"/>
        <w:autoSpaceDE/>
        <w:autoSpaceDN/>
        <w:bidi w:val="0"/>
        <w:snapToGrid/>
        <w:spacing w:line="360" w:lineRule="auto"/>
        <w:ind w:firstLine="562" w:firstLineChars="200"/>
        <w:jc w:val="lef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4．违约责任</w:t>
      </w:r>
    </w:p>
    <w:p w14:paraId="33030B7E">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4.1监理人的违约责任</w:t>
      </w:r>
    </w:p>
    <w:p w14:paraId="585B11FF">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4.1.1监理人赔偿金额按下列方法确定：</w:t>
      </w:r>
    </w:p>
    <w:p w14:paraId="666F0A46">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（1）赔偿金=直接经济损失×报酬比率（扣除税金）</w:t>
      </w:r>
    </w:p>
    <w:p w14:paraId="616301DD">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（2）工程造价及工程质量的违约责任</w:t>
      </w:r>
    </w:p>
    <w:p w14:paraId="7DB52BBA">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①若建设单位委托的单项工程竣工结算审计单位审计核减价款与监理单位审核同意价款之比若大于5％（不包括5%），则扣减该单项工程监理人结算酬金的3%作为违约金。</w:t>
      </w:r>
    </w:p>
    <w:p w14:paraId="77F868C4">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②本工程质量应达到合格。单位工程工程质量验收不合格，监理单位除须承担相关法律法规规定的监理责任外，仍须接受委托人从应付监理酬金中扣减对应单位工程监理酬金作为违约金。</w:t>
      </w:r>
    </w:p>
    <w:p w14:paraId="636D0F85">
      <w:pPr>
        <w:keepNext w:val="0"/>
        <w:keepLines w:val="0"/>
        <w:pageBreakBefore w:val="0"/>
        <w:widowControl w:val="0"/>
        <w:kinsoku/>
        <w:wordWrap/>
        <w:overflowPunct/>
        <w:topLinePunct w:val="0"/>
        <w:autoSpaceDE/>
        <w:autoSpaceDN/>
        <w:bidi w:val="0"/>
        <w:adjustRightInd w:val="0"/>
        <w:snapToGrid/>
        <w:spacing w:line="360" w:lineRule="auto"/>
        <w:ind w:firstLine="582" w:firstLineChars="208"/>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4.1.2 监理人违反本合同第一部分第1项约定的，监理人向委托人支付合同价款5%的违约金。</w:t>
      </w:r>
    </w:p>
    <w:p w14:paraId="33C5A529">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4.2委托人的违约责任</w:t>
      </w:r>
    </w:p>
    <w:p w14:paraId="42C9E55A">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4.2.3委托人逾期付款利息按下列方法确定：</w:t>
      </w:r>
      <w:r>
        <w:rPr>
          <w:rFonts w:hint="eastAsia" w:ascii="仿宋" w:hAnsi="仿宋" w:eastAsia="仿宋" w:cs="仿宋"/>
          <w:color w:val="auto"/>
          <w:sz w:val="28"/>
          <w:szCs w:val="28"/>
          <w:highlight w:val="none"/>
          <w:u w:val="single"/>
        </w:rPr>
        <w:t>无</w:t>
      </w:r>
    </w:p>
    <w:p w14:paraId="648F25CE">
      <w:pPr>
        <w:keepNext w:val="0"/>
        <w:keepLines w:val="0"/>
        <w:pageBreakBefore w:val="0"/>
        <w:widowControl w:val="0"/>
        <w:kinsoku/>
        <w:wordWrap/>
        <w:overflowPunct/>
        <w:topLinePunct w:val="0"/>
        <w:autoSpaceDE/>
        <w:autoSpaceDN/>
        <w:bidi w:val="0"/>
        <w:snapToGrid/>
        <w:spacing w:line="360" w:lineRule="auto"/>
        <w:ind w:firstLine="562" w:firstLineChars="200"/>
        <w:jc w:val="lef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5．支付</w:t>
      </w:r>
    </w:p>
    <w:p w14:paraId="65DC0DAF">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5.1支付货币</w:t>
      </w:r>
    </w:p>
    <w:p w14:paraId="75D6888A">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币种为：</w:t>
      </w:r>
      <w:r>
        <w:rPr>
          <w:rFonts w:hint="eastAsia" w:ascii="仿宋" w:hAnsi="仿宋" w:eastAsia="仿宋" w:cs="仿宋"/>
          <w:color w:val="auto"/>
          <w:sz w:val="28"/>
          <w:szCs w:val="28"/>
          <w:highlight w:val="none"/>
          <w:u w:val="single"/>
        </w:rPr>
        <w:t>人民币</w:t>
      </w:r>
      <w:r>
        <w:rPr>
          <w:rFonts w:hint="eastAsia" w:ascii="仿宋" w:hAnsi="仿宋" w:eastAsia="仿宋" w:cs="仿宋"/>
          <w:color w:val="auto"/>
          <w:sz w:val="28"/>
          <w:szCs w:val="28"/>
          <w:highlight w:val="none"/>
        </w:rPr>
        <w:t>，比例为：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，汇率为：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7626CDD4">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5.3支付酬金</w:t>
      </w:r>
    </w:p>
    <w:p w14:paraId="6593700C">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正常工作酬金的支付：</w:t>
      </w:r>
    </w:p>
    <w:p w14:paraId="5D4B06B3">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（1）监理人在每季度第一个月的10号前依照委托人的相关规定报送上季度监理付款申请表，季度进度付款金额为：每季度经委托人审核确认的建设工程施工进度产值×监理服务费费率×</w:t>
      </w:r>
      <w:r>
        <w:rPr>
          <w:rFonts w:hint="eastAsia" w:ascii="仿宋" w:hAnsi="仿宋" w:eastAsia="仿宋" w:cs="仿宋"/>
          <w:color w:val="auto"/>
          <w:sz w:val="28"/>
          <w:szCs w:val="28"/>
          <w:highlight w:val="none"/>
          <w:u w:val="single"/>
          <w:lang w:val="en-US" w:eastAsia="zh-CN"/>
        </w:rPr>
        <w:t>8</w:t>
      </w:r>
      <w:r>
        <w:rPr>
          <w:rFonts w:hint="eastAsia" w:ascii="仿宋" w:hAnsi="仿宋" w:eastAsia="仿宋" w:cs="仿宋"/>
          <w:color w:val="auto"/>
          <w:sz w:val="28"/>
          <w:szCs w:val="28"/>
          <w:highlight w:val="none"/>
          <w:u w:val="single"/>
        </w:rPr>
        <w:t>0％</w:t>
      </w:r>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rPr>
        <w:t>委托人在收到该申请后14天内核对完毕</w:t>
      </w:r>
      <w:bookmarkStart w:id="2" w:name="OLE_LINK5"/>
      <w:r>
        <w:rPr>
          <w:rFonts w:hint="eastAsia" w:ascii="仿宋" w:hAnsi="仿宋" w:eastAsia="仿宋" w:cs="仿宋"/>
          <w:color w:val="auto"/>
          <w:sz w:val="28"/>
          <w:szCs w:val="28"/>
          <w:highlight w:val="none"/>
          <w:u w:val="single"/>
          <w:lang w:eastAsia="zh-CN"/>
        </w:rPr>
        <w:t>。</w:t>
      </w:r>
      <w:r>
        <w:rPr>
          <w:rFonts w:hint="eastAsia" w:ascii="仿宋" w:hAnsi="仿宋" w:eastAsia="仿宋" w:cs="仿宋"/>
          <w:color w:val="auto"/>
          <w:sz w:val="28"/>
          <w:szCs w:val="28"/>
          <w:highlight w:val="none"/>
          <w:u w:val="single"/>
          <w:lang w:val="en-US" w:eastAsia="zh-CN"/>
        </w:rPr>
        <w:t>委托人</w:t>
      </w:r>
      <w:r>
        <w:rPr>
          <w:rFonts w:hint="eastAsia" w:ascii="仿宋" w:hAnsi="仿宋" w:eastAsia="仿宋" w:cs="仿宋"/>
          <w:color w:val="auto"/>
          <w:sz w:val="28"/>
          <w:szCs w:val="28"/>
          <w:highlight w:val="none"/>
          <w:u w:val="single"/>
        </w:rPr>
        <w:t>按照支付程序办理向</w:t>
      </w:r>
      <w:r>
        <w:rPr>
          <w:rFonts w:hint="eastAsia" w:ascii="仿宋" w:hAnsi="仿宋" w:eastAsia="仿宋" w:cs="仿宋"/>
          <w:color w:val="auto"/>
          <w:sz w:val="28"/>
          <w:szCs w:val="28"/>
          <w:highlight w:val="none"/>
          <w:u w:val="single"/>
          <w:lang w:val="en-US" w:eastAsia="zh-CN"/>
        </w:rPr>
        <w:t>监理人</w:t>
      </w:r>
      <w:r>
        <w:rPr>
          <w:rFonts w:hint="eastAsia" w:ascii="仿宋" w:hAnsi="仿宋" w:eastAsia="仿宋" w:cs="仿宋"/>
          <w:color w:val="auto"/>
          <w:sz w:val="28"/>
          <w:szCs w:val="28"/>
          <w:highlight w:val="none"/>
          <w:u w:val="single"/>
        </w:rPr>
        <w:t>支付进度款事项</w:t>
      </w:r>
      <w:bookmarkEnd w:id="2"/>
      <w:r>
        <w:rPr>
          <w:rFonts w:hint="eastAsia" w:ascii="仿宋" w:hAnsi="仿宋" w:eastAsia="仿宋" w:cs="仿宋"/>
          <w:color w:val="auto"/>
          <w:sz w:val="28"/>
          <w:szCs w:val="28"/>
          <w:highlight w:val="none"/>
          <w:u w:val="single"/>
        </w:rPr>
        <w:t>。建设工程施工进度产值达到80%时停止支付监理费用。</w:t>
      </w:r>
    </w:p>
    <w:p w14:paraId="623A9969">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（2）全部监理工作完成（包括监理资料移交）后，以管委会审核确定的工程结算造价乘以</w:t>
      </w:r>
      <w:bookmarkStart w:id="3" w:name="OLE_LINK55"/>
      <w:r>
        <w:rPr>
          <w:rFonts w:hint="eastAsia" w:ascii="仿宋" w:hAnsi="仿宋" w:eastAsia="仿宋" w:cs="仿宋"/>
          <w:color w:val="auto"/>
          <w:sz w:val="28"/>
          <w:szCs w:val="28"/>
          <w:highlight w:val="none"/>
          <w:u w:val="single"/>
          <w:lang w:val="en-US" w:eastAsia="zh-CN"/>
        </w:rPr>
        <w:t>成交</w:t>
      </w:r>
      <w:r>
        <w:rPr>
          <w:rFonts w:hint="eastAsia" w:ascii="仿宋" w:hAnsi="仿宋" w:eastAsia="仿宋" w:cs="仿宋"/>
          <w:color w:val="auto"/>
          <w:sz w:val="28"/>
          <w:szCs w:val="28"/>
          <w:highlight w:val="none"/>
          <w:u w:val="single"/>
        </w:rPr>
        <w:t>费率</w:t>
      </w:r>
      <w:bookmarkEnd w:id="3"/>
      <w:r>
        <w:rPr>
          <w:rFonts w:hint="eastAsia" w:ascii="仿宋" w:hAnsi="仿宋" w:eastAsia="仿宋" w:cs="仿宋"/>
          <w:color w:val="auto"/>
          <w:sz w:val="28"/>
          <w:szCs w:val="28"/>
          <w:highlight w:val="none"/>
          <w:u w:val="single"/>
        </w:rPr>
        <w:t>计算全部监理费用，审计确定的监理费扣除已支付的监理费为剩余监理费用，监理人按照要求办理完所有手续后完成监理费结算并办理支付。</w:t>
      </w:r>
    </w:p>
    <w:p w14:paraId="2E008E22">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（3）每次支付前，监理人应提供符合发包人要求的等额增值税</w:t>
      </w:r>
      <w:r>
        <w:rPr>
          <w:rFonts w:hint="eastAsia" w:ascii="仿宋" w:hAnsi="仿宋" w:eastAsia="仿宋" w:cs="仿宋"/>
          <w:color w:val="auto"/>
          <w:sz w:val="28"/>
          <w:szCs w:val="28"/>
          <w:highlight w:val="none"/>
          <w:u w:val="single"/>
          <w:lang w:val="en-US" w:eastAsia="zh-CN"/>
        </w:rPr>
        <w:t>普通</w:t>
      </w:r>
      <w:r>
        <w:rPr>
          <w:rFonts w:hint="eastAsia" w:ascii="仿宋" w:hAnsi="仿宋" w:eastAsia="仿宋" w:cs="仿宋"/>
          <w:color w:val="auto"/>
          <w:sz w:val="28"/>
          <w:szCs w:val="28"/>
          <w:highlight w:val="none"/>
          <w:u w:val="single"/>
        </w:rPr>
        <w:t>发票，否则委托人有权拒绝付款并不承担任何责任。</w:t>
      </w:r>
    </w:p>
    <w:p w14:paraId="7482449D">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（4）如本项目延期，其中因项目暂停导致的延期，暂停时间不计监理费。</w:t>
      </w:r>
    </w:p>
    <w:p w14:paraId="6D0A9AD1">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（5）在工程款支付时，发包人可以选用支票、电汇、网上银行转</w:t>
      </w:r>
      <w:r>
        <w:rPr>
          <w:rFonts w:hint="eastAsia" w:ascii="仿宋" w:hAnsi="仿宋" w:eastAsia="仿宋" w:cs="仿宋"/>
          <w:color w:val="auto"/>
          <w:sz w:val="28"/>
          <w:szCs w:val="28"/>
          <w:highlight w:val="none"/>
          <w:u w:val="single"/>
          <w:lang w:val="en-US" w:eastAsia="zh-CN"/>
        </w:rPr>
        <w:t>账</w:t>
      </w:r>
      <w:r>
        <w:rPr>
          <w:rFonts w:hint="eastAsia" w:ascii="仿宋" w:hAnsi="仿宋" w:eastAsia="仿宋" w:cs="仿宋"/>
          <w:color w:val="auto"/>
          <w:sz w:val="28"/>
          <w:szCs w:val="28"/>
          <w:highlight w:val="none"/>
          <w:u w:val="single"/>
        </w:rPr>
        <w:t>、银行承兑汇票、商业承兑汇票、信用证、应收账款保理、实物资产抵偿等方式支付。发包人</w:t>
      </w:r>
      <w:r>
        <w:rPr>
          <w:rFonts w:hint="eastAsia" w:ascii="仿宋" w:hAnsi="仿宋" w:eastAsia="仿宋" w:cs="仿宋"/>
          <w:color w:val="auto"/>
          <w:sz w:val="28"/>
          <w:szCs w:val="28"/>
          <w:highlight w:val="none"/>
          <w:u w:val="single"/>
          <w:lang w:val="en-US" w:eastAsia="zh-CN"/>
        </w:rPr>
        <w:t>可以</w:t>
      </w:r>
      <w:r>
        <w:rPr>
          <w:rFonts w:hint="eastAsia" w:ascii="仿宋" w:hAnsi="仿宋" w:eastAsia="仿宋" w:cs="仿宋"/>
          <w:color w:val="auto"/>
          <w:sz w:val="28"/>
          <w:szCs w:val="28"/>
          <w:highlight w:val="none"/>
          <w:u w:val="single"/>
        </w:rPr>
        <w:t>选择以上任何一种方式支付工程款。</w:t>
      </w:r>
    </w:p>
    <w:p w14:paraId="7C8209AD">
      <w:pPr>
        <w:keepNext w:val="0"/>
        <w:keepLines w:val="0"/>
        <w:pageBreakBefore w:val="0"/>
        <w:widowControl w:val="0"/>
        <w:kinsoku/>
        <w:wordWrap/>
        <w:overflowPunct/>
        <w:topLinePunct w:val="0"/>
        <w:autoSpaceDE/>
        <w:autoSpaceDN/>
        <w:bidi w:val="0"/>
        <w:snapToGrid/>
        <w:spacing w:line="360" w:lineRule="auto"/>
        <w:ind w:firstLine="562" w:firstLineChars="200"/>
        <w:jc w:val="lef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6．合同生效、变更、暂停、解除与终止</w:t>
      </w:r>
    </w:p>
    <w:p w14:paraId="52E893F3">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6.1生效</w:t>
      </w:r>
    </w:p>
    <w:p w14:paraId="2E056B67">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本合同生效条件：</w:t>
      </w:r>
      <w:r>
        <w:rPr>
          <w:rFonts w:hint="eastAsia" w:ascii="仿宋" w:hAnsi="仿宋" w:eastAsia="仿宋" w:cs="仿宋"/>
          <w:color w:val="auto"/>
          <w:sz w:val="28"/>
          <w:szCs w:val="28"/>
          <w:highlight w:val="none"/>
          <w:u w:val="single"/>
        </w:rPr>
        <w:t xml:space="preserve">双方签字（章）、加盖单位公章 </w:t>
      </w:r>
      <w:r>
        <w:rPr>
          <w:rFonts w:hint="eastAsia" w:ascii="仿宋" w:hAnsi="仿宋" w:eastAsia="仿宋" w:cs="仿宋"/>
          <w:color w:val="auto"/>
          <w:sz w:val="28"/>
          <w:szCs w:val="28"/>
          <w:highlight w:val="none"/>
        </w:rPr>
        <w:t>。</w:t>
      </w:r>
    </w:p>
    <w:p w14:paraId="7F6EB765">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6.2变更</w:t>
      </w:r>
    </w:p>
    <w:p w14:paraId="1FCEA6F8">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6.2.2除不可抗力外，因非监理人原因导致本合同期限延长时：</w:t>
      </w:r>
      <w:r>
        <w:rPr>
          <w:rFonts w:hint="eastAsia" w:ascii="仿宋" w:hAnsi="仿宋" w:eastAsia="仿宋" w:cs="仿宋"/>
          <w:color w:val="auto"/>
          <w:sz w:val="28"/>
          <w:szCs w:val="28"/>
          <w:highlight w:val="none"/>
          <w:u w:val="single"/>
        </w:rPr>
        <w:t>延时和附加工作酬金包含在报价中。</w:t>
      </w:r>
    </w:p>
    <w:p w14:paraId="22A293EF">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6.2.3附加工作酬金按下列方法确定；</w:t>
      </w:r>
    </w:p>
    <w:p w14:paraId="0F86CB01">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延时及附加工作酬金全部包含在投标报价中。</w:t>
      </w:r>
    </w:p>
    <w:p w14:paraId="68E41761">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6.2.6因工程规模、监理范围的变化导致监理人的正常工作量减少时，按减少工作量的比例从协议书约定的正常工作酬金中扣减相同比例的酬金。</w:t>
      </w:r>
    </w:p>
    <w:p w14:paraId="3DE0B010">
      <w:pPr>
        <w:keepNext w:val="0"/>
        <w:keepLines w:val="0"/>
        <w:pageBreakBefore w:val="0"/>
        <w:widowControl w:val="0"/>
        <w:kinsoku/>
        <w:wordWrap/>
        <w:overflowPunct/>
        <w:topLinePunct w:val="0"/>
        <w:autoSpaceDE/>
        <w:autoSpaceDN/>
        <w:bidi w:val="0"/>
        <w:snapToGrid/>
        <w:spacing w:line="360" w:lineRule="auto"/>
        <w:ind w:firstLine="562" w:firstLineChars="200"/>
        <w:jc w:val="lef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7．争议解决</w:t>
      </w:r>
    </w:p>
    <w:p w14:paraId="3AA0F333">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7.2调解</w:t>
      </w:r>
    </w:p>
    <w:p w14:paraId="198485E5">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本合同争议进行调解时，可提交</w:t>
      </w:r>
      <w:r>
        <w:rPr>
          <w:rFonts w:hint="eastAsia" w:ascii="仿宋" w:hAnsi="仿宋" w:eastAsia="仿宋" w:cs="仿宋"/>
          <w:color w:val="auto"/>
          <w:sz w:val="28"/>
          <w:szCs w:val="28"/>
          <w:highlight w:val="none"/>
          <w:u w:val="single"/>
        </w:rPr>
        <w:t>/</w:t>
      </w:r>
      <w:r>
        <w:rPr>
          <w:rFonts w:hint="eastAsia" w:ascii="仿宋" w:hAnsi="仿宋" w:eastAsia="仿宋" w:cs="仿宋"/>
          <w:color w:val="auto"/>
          <w:sz w:val="28"/>
          <w:szCs w:val="28"/>
          <w:highlight w:val="none"/>
        </w:rPr>
        <w:t>进行调解。</w:t>
      </w:r>
    </w:p>
    <w:p w14:paraId="056A1A6D">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7.3仲裁或诉讼</w:t>
      </w:r>
    </w:p>
    <w:p w14:paraId="45E9D3D7">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合同争议的最终解决方式为下列第</w:t>
      </w:r>
      <w:r>
        <w:rPr>
          <w:rFonts w:hint="eastAsia" w:ascii="仿宋" w:hAnsi="仿宋" w:eastAsia="仿宋" w:cs="仿宋"/>
          <w:color w:val="auto"/>
          <w:sz w:val="28"/>
          <w:szCs w:val="28"/>
          <w:highlight w:val="none"/>
          <w:u w:val="single"/>
        </w:rPr>
        <w:t>（2）</w:t>
      </w:r>
      <w:r>
        <w:rPr>
          <w:rFonts w:hint="eastAsia" w:ascii="仿宋" w:hAnsi="仿宋" w:eastAsia="仿宋" w:cs="仿宋"/>
          <w:color w:val="auto"/>
          <w:sz w:val="28"/>
          <w:szCs w:val="28"/>
          <w:highlight w:val="none"/>
        </w:rPr>
        <w:t>种方式：</w:t>
      </w:r>
    </w:p>
    <w:p w14:paraId="2B38E462">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（1）提请</w:t>
      </w:r>
      <w:r>
        <w:rPr>
          <w:rFonts w:hint="eastAsia" w:ascii="仿宋" w:hAnsi="仿宋" w:eastAsia="仿宋" w:cs="仿宋"/>
          <w:color w:val="auto"/>
          <w:sz w:val="28"/>
          <w:szCs w:val="28"/>
          <w:highlight w:val="none"/>
          <w:u w:val="single"/>
        </w:rPr>
        <w:t>（西安）</w:t>
      </w:r>
      <w:r>
        <w:rPr>
          <w:rFonts w:hint="eastAsia" w:ascii="仿宋" w:hAnsi="仿宋" w:eastAsia="仿宋" w:cs="仿宋"/>
          <w:color w:val="auto"/>
          <w:sz w:val="28"/>
          <w:szCs w:val="28"/>
          <w:highlight w:val="none"/>
        </w:rPr>
        <w:t>仲裁委员会进行仲裁。</w:t>
      </w:r>
    </w:p>
    <w:p w14:paraId="05DD001A">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（2）向</w:t>
      </w:r>
      <w:r>
        <w:rPr>
          <w:rFonts w:hint="eastAsia" w:ascii="仿宋" w:hAnsi="仿宋" w:eastAsia="仿宋" w:cs="仿宋"/>
          <w:color w:val="auto"/>
          <w:sz w:val="28"/>
          <w:szCs w:val="28"/>
          <w:highlight w:val="none"/>
          <w:u w:val="single"/>
        </w:rPr>
        <w:t>工程所在地</w:t>
      </w:r>
      <w:r>
        <w:rPr>
          <w:rFonts w:hint="eastAsia" w:ascii="仿宋" w:hAnsi="仿宋" w:eastAsia="仿宋" w:cs="仿宋"/>
          <w:color w:val="auto"/>
          <w:sz w:val="28"/>
          <w:szCs w:val="28"/>
          <w:highlight w:val="none"/>
        </w:rPr>
        <w:t>人民法院提起诉讼。</w:t>
      </w:r>
    </w:p>
    <w:p w14:paraId="0A2E5A58">
      <w:pPr>
        <w:keepNext w:val="0"/>
        <w:keepLines w:val="0"/>
        <w:pageBreakBefore w:val="0"/>
        <w:widowControl w:val="0"/>
        <w:kinsoku/>
        <w:wordWrap/>
        <w:overflowPunct/>
        <w:topLinePunct w:val="0"/>
        <w:autoSpaceDE/>
        <w:autoSpaceDN/>
        <w:bidi w:val="0"/>
        <w:snapToGrid/>
        <w:spacing w:line="360" w:lineRule="auto"/>
        <w:ind w:firstLine="562" w:firstLineChars="200"/>
        <w:jc w:val="lef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8．其他</w:t>
      </w:r>
    </w:p>
    <w:p w14:paraId="63D52971">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8.2检测费用</w:t>
      </w:r>
    </w:p>
    <w:p w14:paraId="1144E230">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委托人应在检测工作完成后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天内支付检测费用。</w:t>
      </w:r>
    </w:p>
    <w:p w14:paraId="1AEA8DFA">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8.3咨询费用</w:t>
      </w:r>
    </w:p>
    <w:p w14:paraId="3DBF082D">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委托人应在检测工作完成后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天内支付咨询费用。</w:t>
      </w:r>
    </w:p>
    <w:p w14:paraId="5C73FF71">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8.4奖励</w:t>
      </w:r>
    </w:p>
    <w:p w14:paraId="7A81D5E5">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不奖励</w:t>
      </w:r>
      <w:r>
        <w:rPr>
          <w:rFonts w:hint="eastAsia" w:ascii="仿宋" w:hAnsi="仿宋" w:eastAsia="仿宋" w:cs="仿宋"/>
          <w:color w:val="auto"/>
          <w:sz w:val="28"/>
          <w:szCs w:val="28"/>
          <w:highlight w:val="none"/>
        </w:rPr>
        <w:t>。</w:t>
      </w:r>
    </w:p>
    <w:p w14:paraId="779E07B6">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8.6保密</w:t>
      </w:r>
    </w:p>
    <w:p w14:paraId="40E15AA4">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委托人申明的保密事项的期限：</w:t>
      </w:r>
      <w:r>
        <w:rPr>
          <w:rFonts w:hint="eastAsia" w:ascii="仿宋" w:hAnsi="仿宋" w:eastAsia="仿宋" w:cs="仿宋"/>
          <w:color w:val="auto"/>
          <w:sz w:val="28"/>
          <w:szCs w:val="28"/>
          <w:highlight w:val="none"/>
          <w:u w:val="single"/>
        </w:rPr>
        <w:t>与委托人及工程相关有关信息应永久保密</w:t>
      </w:r>
      <w:r>
        <w:rPr>
          <w:rFonts w:hint="eastAsia" w:ascii="仿宋" w:hAnsi="仿宋" w:eastAsia="仿宋" w:cs="仿宋"/>
          <w:color w:val="auto"/>
          <w:sz w:val="28"/>
          <w:szCs w:val="28"/>
          <w:highlight w:val="none"/>
        </w:rPr>
        <w:t>。</w:t>
      </w:r>
    </w:p>
    <w:p w14:paraId="0184E32E">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监理人申明的保密事项和期限：</w:t>
      </w:r>
      <w:r>
        <w:rPr>
          <w:rFonts w:hint="eastAsia" w:ascii="仿宋" w:hAnsi="仿宋" w:eastAsia="仿宋" w:cs="仿宋"/>
          <w:color w:val="auto"/>
          <w:sz w:val="28"/>
          <w:szCs w:val="28"/>
          <w:highlight w:val="none"/>
          <w:u w:val="single"/>
        </w:rPr>
        <w:t>与监理人有关信息应永久保密</w:t>
      </w:r>
      <w:r>
        <w:rPr>
          <w:rFonts w:hint="eastAsia" w:ascii="仿宋" w:hAnsi="仿宋" w:eastAsia="仿宋" w:cs="仿宋"/>
          <w:color w:val="auto"/>
          <w:sz w:val="28"/>
          <w:szCs w:val="28"/>
          <w:highlight w:val="none"/>
        </w:rPr>
        <w:t>。</w:t>
      </w:r>
    </w:p>
    <w:p w14:paraId="5D04D7C0">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监理人申明的保密事项和期限：</w:t>
      </w:r>
      <w:r>
        <w:rPr>
          <w:rFonts w:hint="eastAsia" w:ascii="仿宋" w:hAnsi="仿宋" w:eastAsia="仿宋" w:cs="仿宋"/>
          <w:color w:val="auto"/>
          <w:sz w:val="28"/>
          <w:szCs w:val="28"/>
          <w:highlight w:val="none"/>
          <w:u w:val="single"/>
        </w:rPr>
        <w:t>与监理人有关信息应永久保密</w:t>
      </w:r>
      <w:r>
        <w:rPr>
          <w:rFonts w:hint="eastAsia" w:ascii="仿宋" w:hAnsi="仿宋" w:eastAsia="仿宋" w:cs="仿宋"/>
          <w:color w:val="auto"/>
          <w:sz w:val="28"/>
          <w:szCs w:val="28"/>
          <w:highlight w:val="none"/>
        </w:rPr>
        <w:t>。</w:t>
      </w:r>
    </w:p>
    <w:p w14:paraId="0AB08529">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第三方申明的保密事项和期限：</w:t>
      </w:r>
      <w:r>
        <w:rPr>
          <w:rFonts w:hint="eastAsia" w:ascii="仿宋" w:hAnsi="仿宋" w:eastAsia="仿宋" w:cs="仿宋"/>
          <w:color w:val="auto"/>
          <w:sz w:val="28"/>
          <w:szCs w:val="28"/>
          <w:highlight w:val="none"/>
          <w:u w:val="single"/>
        </w:rPr>
        <w:t>保守各方的相关商业机密或企业信息</w:t>
      </w:r>
      <w:r>
        <w:rPr>
          <w:rFonts w:hint="eastAsia" w:ascii="仿宋" w:hAnsi="仿宋" w:eastAsia="仿宋" w:cs="仿宋"/>
          <w:color w:val="auto"/>
          <w:sz w:val="28"/>
          <w:szCs w:val="28"/>
          <w:highlight w:val="none"/>
        </w:rPr>
        <w:t>。</w:t>
      </w:r>
    </w:p>
    <w:p w14:paraId="42FAE78D">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8.8著作权</w:t>
      </w:r>
    </w:p>
    <w:p w14:paraId="583F7B93">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监理人在本合同履行期间及本合同终止后两年内出版涉及本工程的有关监理与相关服务的资料的限制条件：</w:t>
      </w:r>
      <w:r>
        <w:rPr>
          <w:rFonts w:hint="eastAsia" w:ascii="仿宋" w:hAnsi="仿宋" w:eastAsia="仿宋" w:cs="仿宋"/>
          <w:color w:val="auto"/>
          <w:sz w:val="28"/>
          <w:szCs w:val="28"/>
          <w:highlight w:val="none"/>
          <w:u w:val="single"/>
        </w:rPr>
        <w:t>与本工程有关内容须经委托人同意后方可发表</w:t>
      </w:r>
      <w:r>
        <w:rPr>
          <w:rFonts w:hint="eastAsia" w:ascii="仿宋" w:hAnsi="仿宋" w:eastAsia="仿宋" w:cs="仿宋"/>
          <w:color w:val="auto"/>
          <w:sz w:val="28"/>
          <w:szCs w:val="28"/>
          <w:highlight w:val="none"/>
        </w:rPr>
        <w:t>。</w:t>
      </w:r>
    </w:p>
    <w:p w14:paraId="6650ACB7">
      <w:pPr>
        <w:keepNext w:val="0"/>
        <w:keepLines w:val="0"/>
        <w:pageBreakBefore w:val="0"/>
        <w:widowControl w:val="0"/>
        <w:kinsoku/>
        <w:wordWrap/>
        <w:overflowPunct/>
        <w:topLinePunct w:val="0"/>
        <w:autoSpaceDE/>
        <w:autoSpaceDN/>
        <w:bidi w:val="0"/>
        <w:snapToGrid/>
        <w:spacing w:line="360" w:lineRule="auto"/>
        <w:ind w:firstLine="562" w:firstLineChars="200"/>
        <w:jc w:val="left"/>
        <w:textAlignment w:val="auto"/>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9．补充条款</w:t>
      </w:r>
    </w:p>
    <w:p w14:paraId="2704D6DE">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9.1本次投标的主要监理人员名单及相应学历、从业资格证书复印件作为合同</w:t>
      </w:r>
      <w:r>
        <w:rPr>
          <w:rFonts w:hint="eastAsia" w:ascii="仿宋" w:hAnsi="仿宋" w:eastAsia="仿宋" w:cs="仿宋"/>
          <w:color w:val="auto"/>
          <w:sz w:val="28"/>
          <w:szCs w:val="28"/>
          <w:highlight w:val="none"/>
          <w:u w:val="single"/>
          <w:lang w:val="en-US" w:eastAsia="zh-CN"/>
        </w:rPr>
        <w:t>附件</w:t>
      </w:r>
      <w:r>
        <w:rPr>
          <w:rFonts w:hint="eastAsia" w:ascii="仿宋" w:hAnsi="仿宋" w:eastAsia="仿宋" w:cs="仿宋"/>
          <w:color w:val="auto"/>
          <w:sz w:val="28"/>
          <w:szCs w:val="28"/>
          <w:highlight w:val="none"/>
          <w:u w:val="single"/>
        </w:rPr>
        <w:t>。未经委托人同意，监理人不得擅自更换委托人在合同签订时认定的总监理工程师、总监代表及主要监理工程师。如确有特殊原因需要更换时，必须征得委托人同意后方可更换；如监理人未征得委托人同意随意更换，每人/次委托人有权扣除监理人5至10万元监理酬金作为违约金；</w:t>
      </w:r>
    </w:p>
    <w:p w14:paraId="4FD0B2CB">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9.2监理人调换总监理工程师或监理机构人员调换前须和委托人提出书面报告并附上替代人员的所有证明资料，经委托人书面同意后方可调换（因自身原因主动调换时另应承担相应违约金）：或委托人要求监理单位更换个别监理人员时，监理单位在接到委托人通知后两周内安排更换。否则，委托人将有权延期支付监理酬金并采取扣除违约金直至监理人采取纠正措施；情节严重的，委托人有权单方面解除合同。</w:t>
      </w:r>
    </w:p>
    <w:p w14:paraId="5892EF0C">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9.3 本项目分步实施，监理工期应满足本项目总工期要求，具体监理期结束时间以本项目最后一个单项竣工结算完成为止。</w:t>
      </w:r>
    </w:p>
    <w:p w14:paraId="2B6C02AC">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9.4 监理酬金结算按照约定执行。</w:t>
      </w:r>
    </w:p>
    <w:p w14:paraId="3528F22E">
      <w:pPr>
        <w:keepNext w:val="0"/>
        <w:keepLines w:val="0"/>
        <w:pageBreakBefore w:val="0"/>
        <w:widowControl w:val="0"/>
        <w:shd w:val="clear" w:color="auto" w:fill="FFFFFF"/>
        <w:kinsoku/>
        <w:wordWrap/>
        <w:overflowPunct/>
        <w:topLinePunct w:val="0"/>
        <w:autoSpaceDE/>
        <w:autoSpaceDN/>
        <w:bidi w:val="0"/>
        <w:snapToGrid/>
        <w:spacing w:line="360" w:lineRule="auto"/>
        <w:ind w:firstLine="42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9.5本委托监理工程不得转让，一旦发现立即终止合同并清除出场。</w:t>
      </w:r>
    </w:p>
    <w:p w14:paraId="79CBDB29">
      <w:pPr>
        <w:keepNext w:val="0"/>
        <w:keepLines w:val="0"/>
        <w:pageBreakBefore w:val="0"/>
        <w:widowControl w:val="0"/>
        <w:shd w:val="clear" w:color="auto" w:fill="FFFFFF"/>
        <w:kinsoku/>
        <w:wordWrap/>
        <w:overflowPunct/>
        <w:topLinePunct w:val="0"/>
        <w:autoSpaceDE/>
        <w:autoSpaceDN/>
        <w:bidi w:val="0"/>
        <w:snapToGrid/>
        <w:spacing w:line="360" w:lineRule="auto"/>
        <w:ind w:firstLine="42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9.6在保证工程质量的措施和手段上，要有相应的巡视记录和检测的设备。</w:t>
      </w:r>
    </w:p>
    <w:p w14:paraId="58061B73">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9.7 监理单位在履行职责过程中如存在以下情况的，按照约定处罚条款执行：</w:t>
      </w:r>
    </w:p>
    <w:p w14:paraId="6DC9C50D">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(1)监理投标合同明确的总监不能常驻现场或不能到场的，愿接受10000—50000元处罚，并及时整改到位。</w:t>
      </w:r>
    </w:p>
    <w:p w14:paraId="3ABC9AA3">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总监理工程师及总监代表必须常驻施工现场，每周不少于5天，外出办事超过半日（4小时）须征得建设单位现场负责人的同意；监理工程师外出办事超过一日的（8小时）须征得建设单位现场代表的同意。如违反本项规定，愿接受一周内总监理工程师累计缺勤一天处罚500—1000元，未履行请假手续处罚200—300；总监代表累计缺勤一天罚200—500元，未履行请假手续的处罚100—200；监理工程师累计缺勤一天罚100—200元，未履行请假手续的处罚50—100元。</w:t>
      </w:r>
    </w:p>
    <w:p w14:paraId="0068DA37">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 总监理工程必须有园林、景观及市政等专业资质或学历，各专业监理工程师必须有相应的专业监理资质，资质和人员不相符的每人处罚2000元。</w:t>
      </w:r>
    </w:p>
    <w:p w14:paraId="735B1F2F">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(4)监理单位负责检查施工单位报送资料的真实、同步、完整性并对检查结果负责。对施工资料审查不认真负责的，对明显错误及失真的，愿接受每次处罚500-1000元。</w:t>
      </w:r>
    </w:p>
    <w:p w14:paraId="0931FACE">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(5)监理单位上报建设单位的监理大纲、监理细则、监理月报等资料不及时的，愿接受每项200-500元处罚。</w:t>
      </w:r>
    </w:p>
    <w:p w14:paraId="7626489B">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(6)监理单位不认真审核进度，未发现或提出施工单位所报进度和实际完成情况不符，愿接受每次1000-2000元处罚。</w:t>
      </w:r>
    </w:p>
    <w:p w14:paraId="1659FAB3">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(7)监理单位对施工单位竣工图不仔细审查便上报，经工程管理部门审查发现竣工图工作量与实际完成的不符，愿接受1000-2000元处罚。</w:t>
      </w:r>
    </w:p>
    <w:p w14:paraId="106F82EA">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 监理单位管理不到位，造成上级部门对安全文明施工、治污减霾提出通报或被处理的，愿接受1000-2000元处罚，上级部门有要求时按其要求执行。</w:t>
      </w:r>
    </w:p>
    <w:p w14:paraId="52F56F31">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(9)监理单位监管不到位，造成安全事故的愿接受1000-5000元处罚，出现重大安全事故的处罚30000-50000元，上级部门有要求时按其要求执行。</w:t>
      </w:r>
    </w:p>
    <w:p w14:paraId="70F40DF2">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(10)监理单位对工程进度检查监督措施不到位，对工程进度失控的，承担相应的监理责任，愿接受施工单位处罚金额的10%。</w:t>
      </w:r>
    </w:p>
    <w:p w14:paraId="172AD96B">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(11)监理单位对施工材料、成品、半成品的质量监督不力，造成质量隐患或事实的将进行处罚，愿接受每次1000-2000元处罚。</w:t>
      </w:r>
    </w:p>
    <w:p w14:paraId="27580D01">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(12)因监理人员失职，造成一般质量事故的愿接受500-2000元处罚，造成重大质量事故的愿接受5000-20000元处罚，上级部门有要求时按其要求执行。</w:t>
      </w:r>
    </w:p>
    <w:p w14:paraId="5D91898A">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为保证监理工作的公正性，监理单位及其监理人员应保持廉洁，不允许以任何方式接受施工单位任何形式的馈赠或好处，不得在施工单位搭伙吃饭、住宿，不得接受施工单位的宴请等任何可能影响公正履职的行为，一经发现涉及的监理人员将清退出场，并愿接受每次500—2000元的处罚，上级主管部门有明确处理意见的遵照执行。</w:t>
      </w:r>
    </w:p>
    <w:p w14:paraId="678625AC">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9.8监理人应无条件执行委托人的管理制度。如果监理人不配合委托人工作，拒不执行委托人管理制度，委托人有权利无条件解除合同。由此对委托人造成的损失由监理人无条件承担。</w:t>
      </w:r>
    </w:p>
    <w:p w14:paraId="23F121A0">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u w:val="single"/>
        </w:rPr>
        <w:t>9.8本合同未尽事宜，双方另行协商解决。</w:t>
      </w:r>
    </w:p>
    <w:p w14:paraId="0E82952A">
      <w:pPr>
        <w:pStyle w:val="2"/>
        <w:keepNext w:val="0"/>
        <w:keepLines w:val="0"/>
        <w:pageBreakBefore w:val="0"/>
        <w:widowControl w:val="0"/>
        <w:kinsoku/>
        <w:wordWrap/>
        <w:overflowPunct/>
        <w:topLinePunct w:val="0"/>
        <w:autoSpaceDE/>
        <w:autoSpaceDN/>
        <w:bidi w:val="0"/>
        <w:snapToGrid/>
        <w:spacing w:after="0" w:line="360" w:lineRule="auto"/>
        <w:jc w:val="left"/>
        <w:textAlignment w:val="auto"/>
        <w:rPr>
          <w:rFonts w:hint="eastAsia" w:ascii="仿宋" w:hAnsi="仿宋" w:eastAsia="仿宋" w:cs="仿宋"/>
          <w:color w:val="auto"/>
          <w:sz w:val="28"/>
          <w:szCs w:val="28"/>
          <w:highlight w:val="none"/>
        </w:rPr>
      </w:pPr>
    </w:p>
    <w:p w14:paraId="018EA1E1">
      <w:pPr>
        <w:pStyle w:val="2"/>
        <w:keepNext w:val="0"/>
        <w:keepLines w:val="0"/>
        <w:pageBreakBefore w:val="0"/>
        <w:widowControl w:val="0"/>
        <w:kinsoku/>
        <w:wordWrap/>
        <w:overflowPunct/>
        <w:topLinePunct w:val="0"/>
        <w:autoSpaceDE/>
        <w:autoSpaceDN/>
        <w:bidi w:val="0"/>
        <w:snapToGrid/>
        <w:spacing w:after="0" w:line="360" w:lineRule="auto"/>
        <w:jc w:val="left"/>
        <w:textAlignment w:val="auto"/>
        <w:rPr>
          <w:rFonts w:hint="eastAsia" w:ascii="仿宋" w:hAnsi="仿宋" w:eastAsia="仿宋" w:cs="仿宋"/>
          <w:color w:val="auto"/>
          <w:sz w:val="28"/>
          <w:szCs w:val="28"/>
          <w:highlight w:val="none"/>
        </w:rPr>
      </w:pPr>
    </w:p>
    <w:p w14:paraId="7C3D6095">
      <w:pPr>
        <w:keepNext w:val="0"/>
        <w:keepLines w:val="0"/>
        <w:pageBreakBefore w:val="0"/>
        <w:widowControl w:val="0"/>
        <w:kinsoku/>
        <w:wordWrap/>
        <w:overflowPunct/>
        <w:topLinePunct w:val="0"/>
        <w:autoSpaceDE/>
        <w:autoSpaceDN/>
        <w:bidi w:val="0"/>
        <w:snapToGrid/>
        <w:spacing w:line="360" w:lineRule="auto"/>
        <w:jc w:val="left"/>
        <w:textAlignment w:val="auto"/>
        <w:rPr>
          <w:rFonts w:hint="eastAsia" w:ascii="仿宋" w:hAnsi="仿宋" w:eastAsia="仿宋" w:cs="仿宋"/>
          <w:color w:val="auto"/>
          <w:sz w:val="28"/>
          <w:szCs w:val="28"/>
          <w:highlight w:val="none"/>
        </w:rPr>
      </w:pPr>
    </w:p>
    <w:p w14:paraId="76AD0F48">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附录A 相关服务的范围和内容</w:t>
      </w:r>
    </w:p>
    <w:p w14:paraId="3ABBCDA6">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附录B 委托人</w:t>
      </w:r>
      <w:r>
        <w:rPr>
          <w:rFonts w:hint="eastAsia" w:ascii="仿宋" w:hAnsi="仿宋" w:eastAsia="仿宋" w:cs="仿宋"/>
          <w:color w:val="auto"/>
          <w:sz w:val="28"/>
          <w:szCs w:val="28"/>
          <w:highlight w:val="none"/>
          <w:lang w:val="en-US" w:eastAsia="zh-CN"/>
        </w:rPr>
        <w:t>派遣</w:t>
      </w:r>
      <w:r>
        <w:rPr>
          <w:rFonts w:hint="eastAsia" w:ascii="仿宋" w:hAnsi="仿宋" w:eastAsia="仿宋" w:cs="仿宋"/>
          <w:color w:val="auto"/>
          <w:sz w:val="28"/>
          <w:szCs w:val="28"/>
          <w:highlight w:val="none"/>
        </w:rPr>
        <w:t>的人员和提供的房屋、资料、设备</w:t>
      </w:r>
    </w:p>
    <w:p w14:paraId="699DA5E9">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附录C安全监理责任合同</w:t>
      </w:r>
    </w:p>
    <w:p w14:paraId="46425BC8">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附录D项目监理总监委托书</w:t>
      </w:r>
    </w:p>
    <w:p w14:paraId="1FCCCCFF">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附录E建设工程廉政合同</w:t>
      </w:r>
    </w:p>
    <w:p w14:paraId="72277FB1">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附录F监理单位总监理工程师质量终身责任承诺书</w:t>
      </w:r>
    </w:p>
    <w:p w14:paraId="437CF695">
      <w:pPr>
        <w:keepNext w:val="0"/>
        <w:keepLines w:val="0"/>
        <w:pageBreakBefore w:val="0"/>
        <w:widowControl w:val="0"/>
        <w:kinsoku/>
        <w:wordWrap/>
        <w:overflowPunct/>
        <w:topLinePunct w:val="0"/>
        <w:autoSpaceDE/>
        <w:autoSpaceDN/>
        <w:bidi w:val="0"/>
        <w:snapToGrid/>
        <w:spacing w:line="360" w:lineRule="auto"/>
        <w:ind w:firstLine="560" w:firstLineChars="200"/>
        <w:jc w:val="left"/>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附录G 监理人员名单</w:t>
      </w:r>
    </w:p>
    <w:p w14:paraId="0829C47F">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b/>
          <w:bCs/>
          <w:color w:val="auto"/>
          <w:sz w:val="28"/>
          <w:szCs w:val="28"/>
          <w:highlight w:val="none"/>
        </w:rPr>
      </w:pPr>
      <w:bookmarkStart w:id="4" w:name="_Toc452030774"/>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附录A  相关服务的范围和内容</w:t>
      </w:r>
      <w:bookmarkEnd w:id="4"/>
    </w:p>
    <w:p w14:paraId="007BD5A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A-1 勘察阶段：</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180FE46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A-2 设计阶段：</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4943780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A-3 保修阶段：</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w:t>
      </w:r>
    </w:p>
    <w:p w14:paraId="03BB010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A-4 其他（专业技术咨询、外部协调工作等）：</w:t>
      </w:r>
      <w:r>
        <w:rPr>
          <w:rFonts w:hint="eastAsia" w:ascii="仿宋" w:hAnsi="仿宋" w:eastAsia="仿宋" w:cs="仿宋"/>
          <w:color w:val="auto"/>
          <w:sz w:val="28"/>
          <w:szCs w:val="28"/>
          <w:highlight w:val="none"/>
          <w:u w:val="single"/>
        </w:rPr>
        <w:t xml:space="preserve">另行约定 </w:t>
      </w:r>
      <w:r>
        <w:rPr>
          <w:rFonts w:hint="eastAsia" w:ascii="仿宋" w:hAnsi="仿宋" w:eastAsia="仿宋" w:cs="仿宋"/>
          <w:color w:val="auto"/>
          <w:sz w:val="28"/>
          <w:szCs w:val="28"/>
          <w:highlight w:val="none"/>
        </w:rPr>
        <w:t>。</w:t>
      </w:r>
    </w:p>
    <w:p w14:paraId="38D4D5EC">
      <w:pPr>
        <w:keepNext w:val="0"/>
        <w:keepLines w:val="0"/>
        <w:pageBreakBefore w:val="0"/>
        <w:widowControl/>
        <w:kinsoku w:val="0"/>
        <w:wordWrap/>
        <w:overflowPunct/>
        <w:topLinePunct w:val="0"/>
        <w:autoSpaceDE w:val="0"/>
        <w:autoSpaceDN w:val="0"/>
        <w:bidi w:val="0"/>
        <w:adjustRightInd w:val="0"/>
        <w:snapToGrid w:val="0"/>
        <w:spacing w:before="156" w:beforeLines="50" w:after="156" w:afterLines="50" w:line="360" w:lineRule="auto"/>
        <w:ind w:firstLine="560" w:firstLineChars="200"/>
        <w:textAlignment w:val="baseline"/>
        <w:outlineLvl w:val="9"/>
        <w:rPr>
          <w:rFonts w:hint="eastAsia" w:ascii="仿宋" w:hAnsi="仿宋" w:eastAsia="仿宋" w:cs="仿宋"/>
          <w:color w:val="auto"/>
          <w:sz w:val="28"/>
          <w:szCs w:val="28"/>
          <w:highlight w:val="none"/>
        </w:rPr>
      </w:pPr>
    </w:p>
    <w:p w14:paraId="6AD2AB1A">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b/>
          <w:color w:val="auto"/>
          <w:sz w:val="28"/>
          <w:szCs w:val="28"/>
          <w:highlight w:val="none"/>
        </w:rPr>
      </w:pPr>
      <w:bookmarkStart w:id="5" w:name="_Toc452030775"/>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附录B  委托人派遣的人员和提供的房屋、资料、设备</w:t>
      </w:r>
      <w:bookmarkEnd w:id="5"/>
    </w:p>
    <w:p w14:paraId="1FE3AB22">
      <w:pPr>
        <w:keepNext w:val="0"/>
        <w:keepLines w:val="0"/>
        <w:pageBreakBefore w:val="0"/>
        <w:widowControl/>
        <w:kinsoku w:val="0"/>
        <w:overflowPunct/>
        <w:topLinePunct w:val="0"/>
        <w:autoSpaceDE w:val="0"/>
        <w:autoSpaceDN w:val="0"/>
        <w:bidi w:val="0"/>
        <w:adjustRightInd w:val="0"/>
        <w:snapToGrid w:val="0"/>
        <w:spacing w:before="156" w:beforeLines="50"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B-1  委托人派遣的人员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1770"/>
        <w:gridCol w:w="2130"/>
        <w:gridCol w:w="1860"/>
      </w:tblGrid>
      <w:tr w14:paraId="7B8AB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6C9F9823">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1770" w:type="dxa"/>
            <w:noWrap w:val="0"/>
            <w:vAlign w:val="top"/>
          </w:tcPr>
          <w:p w14:paraId="5D01710C">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数量</w:t>
            </w:r>
          </w:p>
        </w:tc>
        <w:tc>
          <w:tcPr>
            <w:tcW w:w="2130" w:type="dxa"/>
            <w:noWrap w:val="0"/>
            <w:vAlign w:val="top"/>
          </w:tcPr>
          <w:p w14:paraId="264D4523">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工作要求</w:t>
            </w:r>
          </w:p>
        </w:tc>
        <w:tc>
          <w:tcPr>
            <w:tcW w:w="1860" w:type="dxa"/>
            <w:noWrap w:val="0"/>
            <w:vAlign w:val="top"/>
          </w:tcPr>
          <w:p w14:paraId="781A0F1E">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提供时间</w:t>
            </w:r>
          </w:p>
        </w:tc>
      </w:tr>
      <w:tr w14:paraId="1CD03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77551D75">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1. 工程技术人员 </w:t>
            </w:r>
          </w:p>
        </w:tc>
        <w:tc>
          <w:tcPr>
            <w:tcW w:w="1770" w:type="dxa"/>
            <w:noWrap w:val="0"/>
            <w:vAlign w:val="top"/>
          </w:tcPr>
          <w:p w14:paraId="1784063E">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130" w:type="dxa"/>
            <w:noWrap w:val="0"/>
            <w:vAlign w:val="top"/>
          </w:tcPr>
          <w:p w14:paraId="03A9155B">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1860" w:type="dxa"/>
            <w:noWrap w:val="0"/>
            <w:vAlign w:val="top"/>
          </w:tcPr>
          <w:p w14:paraId="24147313">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5F0E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1DBD0D3F">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 辅助工作人员</w:t>
            </w:r>
          </w:p>
        </w:tc>
        <w:tc>
          <w:tcPr>
            <w:tcW w:w="1770" w:type="dxa"/>
            <w:noWrap w:val="0"/>
            <w:vAlign w:val="top"/>
          </w:tcPr>
          <w:p w14:paraId="6C6CC63D">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130" w:type="dxa"/>
            <w:noWrap w:val="0"/>
            <w:vAlign w:val="top"/>
          </w:tcPr>
          <w:p w14:paraId="01030EED">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1860" w:type="dxa"/>
            <w:noWrap w:val="0"/>
            <w:vAlign w:val="top"/>
          </w:tcPr>
          <w:p w14:paraId="7A422685">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32F5F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5981093B">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 其他人员</w:t>
            </w:r>
          </w:p>
        </w:tc>
        <w:tc>
          <w:tcPr>
            <w:tcW w:w="1770" w:type="dxa"/>
            <w:noWrap w:val="0"/>
            <w:vAlign w:val="top"/>
          </w:tcPr>
          <w:p w14:paraId="7A8A0330">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130" w:type="dxa"/>
            <w:noWrap w:val="0"/>
            <w:vAlign w:val="top"/>
          </w:tcPr>
          <w:p w14:paraId="44015153">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1860" w:type="dxa"/>
            <w:noWrap w:val="0"/>
            <w:vAlign w:val="top"/>
          </w:tcPr>
          <w:p w14:paraId="743F747D">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25A7A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top"/>
          </w:tcPr>
          <w:p w14:paraId="20D81CBC">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1770" w:type="dxa"/>
            <w:noWrap w:val="0"/>
            <w:vAlign w:val="top"/>
          </w:tcPr>
          <w:p w14:paraId="3818EEA6">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130" w:type="dxa"/>
            <w:noWrap w:val="0"/>
            <w:vAlign w:val="top"/>
          </w:tcPr>
          <w:p w14:paraId="29BA24C7">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1860" w:type="dxa"/>
            <w:noWrap w:val="0"/>
            <w:vAlign w:val="top"/>
          </w:tcPr>
          <w:p w14:paraId="5223EE61">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bl>
    <w:p w14:paraId="0348A6BD">
      <w:pPr>
        <w:keepNext w:val="0"/>
        <w:keepLines w:val="0"/>
        <w:pageBreakBefore w:val="0"/>
        <w:widowControl/>
        <w:kinsoku w:val="0"/>
        <w:overflowPunct/>
        <w:topLinePunct w:val="0"/>
        <w:autoSpaceDE w:val="0"/>
        <w:autoSpaceDN w:val="0"/>
        <w:bidi w:val="0"/>
        <w:adjustRightInd w:val="0"/>
        <w:snapToGrid w:val="0"/>
        <w:spacing w:before="156" w:beforeLines="50" w:line="360" w:lineRule="auto"/>
        <w:textAlignment w:val="baseline"/>
        <w:outlineLvl w:val="9"/>
        <w:rPr>
          <w:rFonts w:hint="eastAsia" w:ascii="仿宋" w:hAnsi="仿宋" w:eastAsia="仿宋" w:cs="仿宋"/>
          <w:color w:val="auto"/>
          <w:sz w:val="28"/>
          <w:szCs w:val="28"/>
          <w:highlight w:val="none"/>
        </w:rPr>
      </w:pPr>
      <w:bookmarkStart w:id="6" w:name="_Toc452030776"/>
      <w:r>
        <w:rPr>
          <w:rFonts w:hint="eastAsia" w:ascii="仿宋" w:hAnsi="仿宋" w:eastAsia="仿宋" w:cs="仿宋"/>
          <w:color w:val="auto"/>
          <w:sz w:val="28"/>
          <w:szCs w:val="28"/>
          <w:highlight w:val="none"/>
        </w:rPr>
        <w:t>B-2  委托人提供的房屋</w:t>
      </w:r>
      <w:bookmarkEnd w:id="6"/>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30"/>
        <w:gridCol w:w="2130"/>
        <w:gridCol w:w="1860"/>
      </w:tblGrid>
      <w:tr w14:paraId="4DF38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6FADBF5B">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2130" w:type="dxa"/>
            <w:noWrap w:val="0"/>
            <w:vAlign w:val="top"/>
          </w:tcPr>
          <w:p w14:paraId="234E31AF">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数量</w:t>
            </w:r>
          </w:p>
        </w:tc>
        <w:tc>
          <w:tcPr>
            <w:tcW w:w="2130" w:type="dxa"/>
            <w:noWrap w:val="0"/>
            <w:vAlign w:val="top"/>
          </w:tcPr>
          <w:p w14:paraId="6510979F">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面积</w:t>
            </w:r>
          </w:p>
        </w:tc>
        <w:tc>
          <w:tcPr>
            <w:tcW w:w="1860" w:type="dxa"/>
            <w:noWrap w:val="0"/>
            <w:vAlign w:val="top"/>
          </w:tcPr>
          <w:p w14:paraId="5EE43220">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提供时间</w:t>
            </w:r>
          </w:p>
        </w:tc>
      </w:tr>
      <w:tr w14:paraId="190AE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1649EEDB">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 办公用房</w:t>
            </w:r>
          </w:p>
        </w:tc>
        <w:tc>
          <w:tcPr>
            <w:tcW w:w="2130" w:type="dxa"/>
            <w:noWrap w:val="0"/>
            <w:vAlign w:val="top"/>
          </w:tcPr>
          <w:p w14:paraId="5792225E">
            <w:pPr>
              <w:keepNext w:val="0"/>
              <w:keepLines w:val="0"/>
              <w:pageBreakBefore w:val="0"/>
              <w:widowControl/>
              <w:kinsoku w:val="0"/>
              <w:overflowPunct/>
              <w:topLinePunct w:val="0"/>
              <w:autoSpaceDE w:val="0"/>
              <w:autoSpaceDN w:val="0"/>
              <w:bidi w:val="0"/>
              <w:adjustRightInd w:val="0"/>
              <w:snapToGrid w:val="0"/>
              <w:spacing w:line="360" w:lineRule="auto"/>
              <w:ind w:firstLine="280" w:firstLineChars="100"/>
              <w:textAlignment w:val="baseline"/>
              <w:outlineLvl w:val="9"/>
              <w:rPr>
                <w:rFonts w:hint="eastAsia" w:ascii="仿宋" w:hAnsi="仿宋" w:eastAsia="仿宋" w:cs="仿宋"/>
                <w:color w:val="auto"/>
                <w:sz w:val="28"/>
                <w:szCs w:val="28"/>
                <w:highlight w:val="none"/>
              </w:rPr>
            </w:pPr>
          </w:p>
        </w:tc>
        <w:tc>
          <w:tcPr>
            <w:tcW w:w="2130" w:type="dxa"/>
            <w:noWrap w:val="0"/>
            <w:vAlign w:val="top"/>
          </w:tcPr>
          <w:p w14:paraId="70CB0D1D">
            <w:pPr>
              <w:keepNext w:val="0"/>
              <w:keepLines w:val="0"/>
              <w:pageBreakBefore w:val="0"/>
              <w:widowControl/>
              <w:kinsoku w:val="0"/>
              <w:overflowPunct/>
              <w:topLinePunct w:val="0"/>
              <w:autoSpaceDE w:val="0"/>
              <w:autoSpaceDN w:val="0"/>
              <w:bidi w:val="0"/>
              <w:adjustRightInd w:val="0"/>
              <w:snapToGrid w:val="0"/>
              <w:spacing w:line="360" w:lineRule="auto"/>
              <w:ind w:firstLine="280" w:firstLineChars="100"/>
              <w:textAlignment w:val="baseline"/>
              <w:outlineLvl w:val="9"/>
              <w:rPr>
                <w:rFonts w:hint="eastAsia" w:ascii="仿宋" w:hAnsi="仿宋" w:eastAsia="仿宋" w:cs="仿宋"/>
                <w:color w:val="auto"/>
                <w:sz w:val="28"/>
                <w:szCs w:val="28"/>
                <w:highlight w:val="none"/>
              </w:rPr>
            </w:pPr>
          </w:p>
        </w:tc>
        <w:tc>
          <w:tcPr>
            <w:tcW w:w="1860" w:type="dxa"/>
            <w:noWrap w:val="0"/>
            <w:vAlign w:val="top"/>
          </w:tcPr>
          <w:p w14:paraId="5B1CC563">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7F4BA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3D753EC4">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 生活用房</w:t>
            </w:r>
          </w:p>
        </w:tc>
        <w:tc>
          <w:tcPr>
            <w:tcW w:w="2130" w:type="dxa"/>
            <w:noWrap w:val="0"/>
            <w:vAlign w:val="top"/>
          </w:tcPr>
          <w:p w14:paraId="0119132C">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130" w:type="dxa"/>
            <w:noWrap w:val="0"/>
            <w:vAlign w:val="top"/>
          </w:tcPr>
          <w:p w14:paraId="5E99BDD7">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1860" w:type="dxa"/>
            <w:noWrap w:val="0"/>
            <w:vAlign w:val="top"/>
          </w:tcPr>
          <w:p w14:paraId="470174D5">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13C5A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4F334BDD">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 试验用房</w:t>
            </w:r>
          </w:p>
        </w:tc>
        <w:tc>
          <w:tcPr>
            <w:tcW w:w="2130" w:type="dxa"/>
            <w:noWrap w:val="0"/>
            <w:vAlign w:val="top"/>
          </w:tcPr>
          <w:p w14:paraId="05621FD4">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130" w:type="dxa"/>
            <w:noWrap w:val="0"/>
            <w:vAlign w:val="top"/>
          </w:tcPr>
          <w:p w14:paraId="4830866C">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1860" w:type="dxa"/>
            <w:noWrap w:val="0"/>
            <w:vAlign w:val="top"/>
          </w:tcPr>
          <w:p w14:paraId="67F4A910">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3D591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2F1804D7">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 样品用房</w:t>
            </w:r>
          </w:p>
        </w:tc>
        <w:tc>
          <w:tcPr>
            <w:tcW w:w="2130" w:type="dxa"/>
            <w:noWrap w:val="0"/>
            <w:vAlign w:val="top"/>
          </w:tcPr>
          <w:p w14:paraId="4A7A21CE">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130" w:type="dxa"/>
            <w:noWrap w:val="0"/>
            <w:vAlign w:val="top"/>
          </w:tcPr>
          <w:p w14:paraId="344DB30F">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1860" w:type="dxa"/>
            <w:noWrap w:val="0"/>
            <w:vAlign w:val="top"/>
          </w:tcPr>
          <w:p w14:paraId="3D6AEC81">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6EC2E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444DEE8C">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130" w:type="dxa"/>
            <w:noWrap w:val="0"/>
            <w:vAlign w:val="top"/>
          </w:tcPr>
          <w:p w14:paraId="61242F97">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130" w:type="dxa"/>
            <w:noWrap w:val="0"/>
            <w:vAlign w:val="top"/>
          </w:tcPr>
          <w:p w14:paraId="70FDB5A6">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1860" w:type="dxa"/>
            <w:noWrap w:val="0"/>
            <w:vAlign w:val="top"/>
          </w:tcPr>
          <w:p w14:paraId="3D3759AA">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67DB3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48" w:type="dxa"/>
            <w:noWrap w:val="0"/>
            <w:vAlign w:val="top"/>
          </w:tcPr>
          <w:p w14:paraId="085CBD97">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用餐及其他生活条件</w:t>
            </w:r>
          </w:p>
        </w:tc>
        <w:tc>
          <w:tcPr>
            <w:tcW w:w="6120" w:type="dxa"/>
            <w:gridSpan w:val="3"/>
            <w:noWrap w:val="0"/>
            <w:vAlign w:val="top"/>
          </w:tcPr>
          <w:p w14:paraId="31EB299D">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bl>
    <w:p w14:paraId="749BAA74">
      <w:pPr>
        <w:keepNext w:val="0"/>
        <w:keepLines w:val="0"/>
        <w:pageBreakBefore w:val="0"/>
        <w:widowControl/>
        <w:kinsoku w:val="0"/>
        <w:overflowPunct/>
        <w:topLinePunct w:val="0"/>
        <w:autoSpaceDE w:val="0"/>
        <w:autoSpaceDN w:val="0"/>
        <w:bidi w:val="0"/>
        <w:adjustRightInd w:val="0"/>
        <w:snapToGrid w:val="0"/>
        <w:spacing w:before="156" w:beforeLines="50" w:line="360" w:lineRule="auto"/>
        <w:textAlignment w:val="baseline"/>
        <w:outlineLvl w:val="9"/>
        <w:rPr>
          <w:rFonts w:hint="eastAsia" w:ascii="仿宋" w:hAnsi="仿宋" w:eastAsia="仿宋" w:cs="仿宋"/>
          <w:color w:val="auto"/>
          <w:sz w:val="28"/>
          <w:szCs w:val="28"/>
          <w:highlight w:val="none"/>
        </w:rPr>
      </w:pPr>
      <w:bookmarkStart w:id="7" w:name="_Toc452030777"/>
      <w:r>
        <w:rPr>
          <w:rFonts w:hint="eastAsia" w:ascii="仿宋" w:hAnsi="仿宋" w:eastAsia="仿宋" w:cs="仿宋"/>
          <w:color w:val="auto"/>
          <w:sz w:val="28"/>
          <w:szCs w:val="28"/>
          <w:highlight w:val="none"/>
        </w:rPr>
        <w:t>B-3  委托人提供的资料</w:t>
      </w:r>
      <w:bookmarkEnd w:id="7"/>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1491"/>
        <w:gridCol w:w="2147"/>
        <w:gridCol w:w="2082"/>
      </w:tblGrid>
      <w:tr w14:paraId="6DD20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7C5BF1D0">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1491" w:type="dxa"/>
            <w:noWrap w:val="0"/>
            <w:vAlign w:val="top"/>
          </w:tcPr>
          <w:p w14:paraId="15BB31B7">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份数</w:t>
            </w:r>
          </w:p>
        </w:tc>
        <w:tc>
          <w:tcPr>
            <w:tcW w:w="2147" w:type="dxa"/>
            <w:noWrap w:val="0"/>
            <w:vAlign w:val="top"/>
          </w:tcPr>
          <w:p w14:paraId="209D0B4D">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提供时间</w:t>
            </w:r>
          </w:p>
        </w:tc>
        <w:tc>
          <w:tcPr>
            <w:tcW w:w="2082" w:type="dxa"/>
            <w:noWrap w:val="0"/>
            <w:vAlign w:val="top"/>
          </w:tcPr>
          <w:p w14:paraId="1556C3CB">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备注</w:t>
            </w:r>
          </w:p>
        </w:tc>
      </w:tr>
      <w:tr w14:paraId="70E1C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1BAA6CE8">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 工程立项文件</w:t>
            </w:r>
          </w:p>
        </w:tc>
        <w:tc>
          <w:tcPr>
            <w:tcW w:w="1491" w:type="dxa"/>
            <w:noWrap w:val="0"/>
            <w:vAlign w:val="top"/>
          </w:tcPr>
          <w:p w14:paraId="275AC6D2">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2147" w:type="dxa"/>
            <w:noWrap w:val="0"/>
            <w:vAlign w:val="top"/>
          </w:tcPr>
          <w:p w14:paraId="0A65C0A5">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根据需要</w:t>
            </w:r>
          </w:p>
        </w:tc>
        <w:tc>
          <w:tcPr>
            <w:tcW w:w="2082" w:type="dxa"/>
            <w:noWrap w:val="0"/>
            <w:vAlign w:val="top"/>
          </w:tcPr>
          <w:p w14:paraId="09E1A3D0">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4F514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5533A50E">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 工程勘察文件</w:t>
            </w:r>
          </w:p>
        </w:tc>
        <w:tc>
          <w:tcPr>
            <w:tcW w:w="1491" w:type="dxa"/>
            <w:noWrap w:val="0"/>
            <w:vAlign w:val="top"/>
          </w:tcPr>
          <w:p w14:paraId="42E8C8F1">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2147" w:type="dxa"/>
            <w:noWrap w:val="0"/>
            <w:vAlign w:val="top"/>
          </w:tcPr>
          <w:p w14:paraId="606DB000">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根据需要</w:t>
            </w:r>
          </w:p>
        </w:tc>
        <w:tc>
          <w:tcPr>
            <w:tcW w:w="2082" w:type="dxa"/>
            <w:noWrap w:val="0"/>
            <w:vAlign w:val="top"/>
          </w:tcPr>
          <w:p w14:paraId="4FD675CA">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58EF1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1AD0A0DB">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 工程设计及施工图纸</w:t>
            </w:r>
          </w:p>
        </w:tc>
        <w:tc>
          <w:tcPr>
            <w:tcW w:w="1491" w:type="dxa"/>
            <w:noWrap w:val="0"/>
            <w:vAlign w:val="top"/>
          </w:tcPr>
          <w:p w14:paraId="45567E26">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2147" w:type="dxa"/>
            <w:noWrap w:val="0"/>
            <w:vAlign w:val="top"/>
          </w:tcPr>
          <w:p w14:paraId="46C30AFE">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根据需要</w:t>
            </w:r>
          </w:p>
        </w:tc>
        <w:tc>
          <w:tcPr>
            <w:tcW w:w="2082" w:type="dxa"/>
            <w:noWrap w:val="0"/>
            <w:vAlign w:val="top"/>
          </w:tcPr>
          <w:p w14:paraId="7D669A0B">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2207C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492A607D">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 工程承包合同及其他相关合同</w:t>
            </w:r>
          </w:p>
        </w:tc>
        <w:tc>
          <w:tcPr>
            <w:tcW w:w="1491" w:type="dxa"/>
            <w:noWrap w:val="0"/>
            <w:vAlign w:val="top"/>
          </w:tcPr>
          <w:p w14:paraId="2404B866">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2147" w:type="dxa"/>
            <w:noWrap w:val="0"/>
            <w:vAlign w:val="top"/>
          </w:tcPr>
          <w:p w14:paraId="6D839C26">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根据需要</w:t>
            </w:r>
          </w:p>
        </w:tc>
        <w:tc>
          <w:tcPr>
            <w:tcW w:w="2082" w:type="dxa"/>
            <w:noWrap w:val="0"/>
            <w:vAlign w:val="top"/>
          </w:tcPr>
          <w:p w14:paraId="3C5995DA">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36F7B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54D5209B">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 施工许可文件</w:t>
            </w:r>
          </w:p>
        </w:tc>
        <w:tc>
          <w:tcPr>
            <w:tcW w:w="1491" w:type="dxa"/>
            <w:noWrap w:val="0"/>
            <w:vAlign w:val="top"/>
          </w:tcPr>
          <w:p w14:paraId="473981FE">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p>
        </w:tc>
        <w:tc>
          <w:tcPr>
            <w:tcW w:w="2147" w:type="dxa"/>
            <w:noWrap w:val="0"/>
            <w:vAlign w:val="top"/>
          </w:tcPr>
          <w:p w14:paraId="693673B5">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根据需要</w:t>
            </w:r>
          </w:p>
        </w:tc>
        <w:tc>
          <w:tcPr>
            <w:tcW w:w="2082" w:type="dxa"/>
            <w:noWrap w:val="0"/>
            <w:vAlign w:val="top"/>
          </w:tcPr>
          <w:p w14:paraId="4F91AB49">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19A66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3CB1FC44">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 其他文件</w:t>
            </w:r>
          </w:p>
        </w:tc>
        <w:tc>
          <w:tcPr>
            <w:tcW w:w="1491" w:type="dxa"/>
            <w:noWrap w:val="0"/>
            <w:vAlign w:val="top"/>
          </w:tcPr>
          <w:p w14:paraId="639E77F4">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147" w:type="dxa"/>
            <w:noWrap w:val="0"/>
            <w:vAlign w:val="top"/>
          </w:tcPr>
          <w:p w14:paraId="0287087F">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082" w:type="dxa"/>
            <w:noWrap w:val="0"/>
            <w:vAlign w:val="top"/>
          </w:tcPr>
          <w:p w14:paraId="55C03BF2">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0BD00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top"/>
          </w:tcPr>
          <w:p w14:paraId="2B34E1AE">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1491" w:type="dxa"/>
            <w:noWrap w:val="0"/>
            <w:vAlign w:val="top"/>
          </w:tcPr>
          <w:p w14:paraId="0FFB7D5D">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147" w:type="dxa"/>
            <w:noWrap w:val="0"/>
            <w:vAlign w:val="top"/>
          </w:tcPr>
          <w:p w14:paraId="43E5411C">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082" w:type="dxa"/>
            <w:noWrap w:val="0"/>
            <w:vAlign w:val="top"/>
          </w:tcPr>
          <w:p w14:paraId="6C86C761">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bl>
    <w:p w14:paraId="430A03C6">
      <w:pPr>
        <w:keepNext w:val="0"/>
        <w:keepLines w:val="0"/>
        <w:pageBreakBefore w:val="0"/>
        <w:widowControl/>
        <w:kinsoku w:val="0"/>
        <w:overflowPunct/>
        <w:topLinePunct w:val="0"/>
        <w:autoSpaceDE w:val="0"/>
        <w:autoSpaceDN w:val="0"/>
        <w:bidi w:val="0"/>
        <w:adjustRightInd w:val="0"/>
        <w:snapToGrid w:val="0"/>
        <w:spacing w:before="156" w:beforeLines="50" w:line="360" w:lineRule="auto"/>
        <w:textAlignment w:val="baseline"/>
        <w:outlineLvl w:val="9"/>
        <w:rPr>
          <w:rFonts w:hint="eastAsia" w:ascii="仿宋" w:hAnsi="仿宋" w:eastAsia="仿宋" w:cs="仿宋"/>
          <w:color w:val="auto"/>
          <w:sz w:val="28"/>
          <w:szCs w:val="28"/>
          <w:highlight w:val="none"/>
        </w:rPr>
      </w:pPr>
    </w:p>
    <w:p w14:paraId="152472DB">
      <w:pPr>
        <w:keepNext w:val="0"/>
        <w:keepLines w:val="0"/>
        <w:pageBreakBefore w:val="0"/>
        <w:widowControl/>
        <w:kinsoku w:val="0"/>
        <w:overflowPunct/>
        <w:topLinePunct w:val="0"/>
        <w:autoSpaceDE w:val="0"/>
        <w:autoSpaceDN w:val="0"/>
        <w:bidi w:val="0"/>
        <w:adjustRightInd w:val="0"/>
        <w:snapToGrid w:val="0"/>
        <w:spacing w:before="156" w:beforeLines="50" w:line="360" w:lineRule="auto"/>
        <w:textAlignment w:val="baseline"/>
        <w:outlineLvl w:val="9"/>
        <w:rPr>
          <w:rFonts w:hint="eastAsia" w:ascii="仿宋" w:hAnsi="仿宋" w:eastAsia="仿宋" w:cs="仿宋"/>
          <w:color w:val="auto"/>
          <w:sz w:val="28"/>
          <w:szCs w:val="28"/>
          <w:highlight w:val="none"/>
        </w:rPr>
      </w:pPr>
    </w:p>
    <w:p w14:paraId="0C2202B5">
      <w:pPr>
        <w:keepNext w:val="0"/>
        <w:keepLines w:val="0"/>
        <w:pageBreakBefore w:val="0"/>
        <w:widowControl/>
        <w:kinsoku w:val="0"/>
        <w:overflowPunct/>
        <w:topLinePunct w:val="0"/>
        <w:autoSpaceDE w:val="0"/>
        <w:autoSpaceDN w:val="0"/>
        <w:bidi w:val="0"/>
        <w:adjustRightInd w:val="0"/>
        <w:snapToGrid w:val="0"/>
        <w:spacing w:before="156" w:beforeLines="50"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B-4 委托人提供的设备</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1590"/>
        <w:gridCol w:w="2130"/>
        <w:gridCol w:w="1860"/>
      </w:tblGrid>
      <w:tr w14:paraId="748AA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016BE27B">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名称</w:t>
            </w:r>
          </w:p>
        </w:tc>
        <w:tc>
          <w:tcPr>
            <w:tcW w:w="1590" w:type="dxa"/>
            <w:noWrap w:val="0"/>
            <w:vAlign w:val="top"/>
          </w:tcPr>
          <w:p w14:paraId="55D96B3A">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数量</w:t>
            </w:r>
          </w:p>
        </w:tc>
        <w:tc>
          <w:tcPr>
            <w:tcW w:w="2130" w:type="dxa"/>
            <w:noWrap w:val="0"/>
            <w:vAlign w:val="top"/>
          </w:tcPr>
          <w:p w14:paraId="4876F116">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型号与规格</w:t>
            </w:r>
          </w:p>
        </w:tc>
        <w:tc>
          <w:tcPr>
            <w:tcW w:w="1860" w:type="dxa"/>
            <w:noWrap w:val="0"/>
            <w:vAlign w:val="top"/>
          </w:tcPr>
          <w:p w14:paraId="11443026">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提供时间</w:t>
            </w:r>
          </w:p>
        </w:tc>
      </w:tr>
      <w:tr w14:paraId="1EEA5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15C13531">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 通讯设备</w:t>
            </w:r>
          </w:p>
        </w:tc>
        <w:tc>
          <w:tcPr>
            <w:tcW w:w="1590" w:type="dxa"/>
            <w:noWrap w:val="0"/>
            <w:vAlign w:val="top"/>
          </w:tcPr>
          <w:p w14:paraId="6CE11516">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130" w:type="dxa"/>
            <w:noWrap w:val="0"/>
            <w:vAlign w:val="top"/>
          </w:tcPr>
          <w:p w14:paraId="2FC24179">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1860" w:type="dxa"/>
            <w:noWrap w:val="0"/>
            <w:vAlign w:val="top"/>
          </w:tcPr>
          <w:p w14:paraId="04895EA3">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68521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4552A9A7">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 办公设备</w:t>
            </w:r>
          </w:p>
        </w:tc>
        <w:tc>
          <w:tcPr>
            <w:tcW w:w="1590" w:type="dxa"/>
            <w:noWrap w:val="0"/>
            <w:vAlign w:val="top"/>
          </w:tcPr>
          <w:p w14:paraId="5BB57D7C">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130" w:type="dxa"/>
            <w:noWrap w:val="0"/>
            <w:vAlign w:val="top"/>
          </w:tcPr>
          <w:p w14:paraId="5D4B0BC3">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1860" w:type="dxa"/>
            <w:noWrap w:val="0"/>
            <w:vAlign w:val="top"/>
          </w:tcPr>
          <w:p w14:paraId="4D7C5B8E">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2639C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6914D8AB">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 交通工具</w:t>
            </w:r>
          </w:p>
        </w:tc>
        <w:tc>
          <w:tcPr>
            <w:tcW w:w="1590" w:type="dxa"/>
            <w:noWrap w:val="0"/>
            <w:vAlign w:val="top"/>
          </w:tcPr>
          <w:p w14:paraId="5E84D0F9">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130" w:type="dxa"/>
            <w:noWrap w:val="0"/>
            <w:vAlign w:val="top"/>
          </w:tcPr>
          <w:p w14:paraId="14C16831">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1860" w:type="dxa"/>
            <w:noWrap w:val="0"/>
            <w:vAlign w:val="top"/>
          </w:tcPr>
          <w:p w14:paraId="39EEB2A2">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11C18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4249319C">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 检测和试验设备</w:t>
            </w:r>
          </w:p>
        </w:tc>
        <w:tc>
          <w:tcPr>
            <w:tcW w:w="1590" w:type="dxa"/>
            <w:noWrap w:val="0"/>
            <w:vAlign w:val="top"/>
          </w:tcPr>
          <w:p w14:paraId="5B0EAC5E">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130" w:type="dxa"/>
            <w:noWrap w:val="0"/>
            <w:vAlign w:val="top"/>
          </w:tcPr>
          <w:p w14:paraId="1C9A1B80">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1860" w:type="dxa"/>
            <w:noWrap w:val="0"/>
            <w:vAlign w:val="top"/>
          </w:tcPr>
          <w:p w14:paraId="2D2D10B2">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r w14:paraId="10BB13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8" w:type="dxa"/>
            <w:noWrap w:val="0"/>
            <w:vAlign w:val="top"/>
          </w:tcPr>
          <w:p w14:paraId="00ECAD25">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1590" w:type="dxa"/>
            <w:noWrap w:val="0"/>
            <w:vAlign w:val="top"/>
          </w:tcPr>
          <w:p w14:paraId="6810D255">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2130" w:type="dxa"/>
            <w:noWrap w:val="0"/>
            <w:vAlign w:val="top"/>
          </w:tcPr>
          <w:p w14:paraId="27698028">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c>
          <w:tcPr>
            <w:tcW w:w="1860" w:type="dxa"/>
            <w:noWrap w:val="0"/>
            <w:vAlign w:val="top"/>
          </w:tcPr>
          <w:p w14:paraId="04E88235">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tc>
      </w:tr>
    </w:tbl>
    <w:p w14:paraId="7E701B39">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6A01B5C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b/>
          <w:bCs/>
          <w:color w:val="auto"/>
          <w:sz w:val="28"/>
          <w:szCs w:val="28"/>
          <w:highlight w:val="none"/>
        </w:rPr>
      </w:pPr>
      <w:r>
        <w:rPr>
          <w:rFonts w:hint="eastAsia" w:ascii="仿宋" w:hAnsi="仿宋" w:eastAsia="仿宋" w:cs="仿宋"/>
          <w:b/>
          <w:color w:val="auto"/>
          <w:sz w:val="28"/>
          <w:szCs w:val="28"/>
          <w:highlight w:val="none"/>
        </w:rPr>
        <w:t xml:space="preserve">附录C  </w:t>
      </w:r>
    </w:p>
    <w:p w14:paraId="4764D198">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安 全 监 理 责 任 合 同</w:t>
      </w:r>
    </w:p>
    <w:p w14:paraId="4602C848">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根据国务院《建设工程安全生产管理条例》，为在本项目工程监理服务合同的实施过程中切实搞好本工程的安全生产管理工作，业主（以下简称“甲方”）与监理单位</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color w:val="auto"/>
          <w:sz w:val="28"/>
          <w:szCs w:val="28"/>
          <w:highlight w:val="none"/>
        </w:rPr>
        <w:t>（以下简称“乙方”）签订如下安全监理责任合同：</w:t>
      </w:r>
    </w:p>
    <w:p w14:paraId="42DF464D">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bookmarkStart w:id="8" w:name="_Toc452030786"/>
      <w:r>
        <w:rPr>
          <w:rFonts w:hint="eastAsia" w:ascii="仿宋" w:hAnsi="仿宋" w:eastAsia="仿宋" w:cs="仿宋"/>
          <w:color w:val="auto"/>
          <w:sz w:val="28"/>
          <w:szCs w:val="28"/>
          <w:highlight w:val="none"/>
        </w:rPr>
        <w:t>一、甲方职责</w:t>
      </w:r>
      <w:bookmarkEnd w:id="8"/>
    </w:p>
    <w:p w14:paraId="0B294603">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1．严格遵守国家有关安全生产的法律法规，支持乙方按条例要求对规定的施工安全实施监理。</w:t>
      </w:r>
    </w:p>
    <w:p w14:paraId="4A8007E3">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2．按照“安全第一、预防为主”和坚持“管生产必须管安全”的原则进行安全生产管理，做到生产与安全工作同时计划、布置、检查、总结和评比。</w:t>
      </w:r>
    </w:p>
    <w:p w14:paraId="0258196A">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3．重要的安全设施必须坚持与主体工程“三同时”的原则，即：同时设计、审批，同时施工，同时验收，投入使用。</w:t>
      </w:r>
    </w:p>
    <w:p w14:paraId="7DBF8271">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4．定期召开安全生产调度会，及时传达中央及地方有关安全生产的精神。</w:t>
      </w:r>
    </w:p>
    <w:p w14:paraId="4B4BCB2C">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5．组织对施工现场的安全生产检查，监督施工单位及时处理发现的各项安全隐患。</w:t>
      </w:r>
    </w:p>
    <w:p w14:paraId="5299BD10">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bookmarkStart w:id="9" w:name="_Toc452030787"/>
      <w:r>
        <w:rPr>
          <w:rFonts w:hint="eastAsia" w:ascii="仿宋" w:hAnsi="仿宋" w:eastAsia="仿宋" w:cs="仿宋"/>
          <w:color w:val="auto"/>
          <w:sz w:val="28"/>
          <w:szCs w:val="28"/>
          <w:highlight w:val="none"/>
        </w:rPr>
        <w:t>二、乙方职责</w:t>
      </w:r>
      <w:bookmarkEnd w:id="9"/>
    </w:p>
    <w:p w14:paraId="3E4BE5E2">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1．督促施工单位严格遵守国家有关安全生产的法律法规规定，认真执行工程承包合同中的有关安全要求。</w:t>
      </w:r>
    </w:p>
    <w:p w14:paraId="65B73CAA">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坚持“安全第一、预防为主”和“管生产必须管安全”的原则，督促施工单位加强安全生产宣传教育，增强全员安全生产意识，建立健全各项安全生产的管理机构和安全生产管理制度，配备专职及兼职安全检查人员，有组织有领导地开展安全生产活动。</w:t>
      </w:r>
    </w:p>
    <w:p w14:paraId="51AE6446">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 建立健全安全监理制度，加强安全知识教育培训，明确各岗位监理人员的安全监理职责，增强安全意识。</w:t>
      </w:r>
    </w:p>
    <w:p w14:paraId="002595B2">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4．在审查施工组织设计的同时，要同步审查施工组织设计中的安全技术措施，审查专项施工方案是否符合工程建设强制性标准。</w:t>
      </w:r>
    </w:p>
    <w:p w14:paraId="4F63CA7A">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在实施监理过程中，发现存在安全事故隐患的，应立即要求施工单位整改；情况严重的，应立即要求施工单位停止施工，并及时报告建设单位。施工单位拒不整改或不停止施工的，乙方应及时向有关主管部门报告。</w:t>
      </w:r>
    </w:p>
    <w:p w14:paraId="1002ADC5">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6．乙方及其监理工程师应当按照法律、法规和工程建设强制性标准实施监理，并对建设工程安全生产承担监理责任。</w:t>
      </w:r>
    </w:p>
    <w:p w14:paraId="2AAB6879">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乙方应督促施工单位按照本工程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146D5DBA">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bookmarkStart w:id="10" w:name="_Toc452030788"/>
      <w:r>
        <w:rPr>
          <w:rFonts w:hint="eastAsia" w:ascii="仿宋" w:hAnsi="仿宋" w:eastAsia="仿宋" w:cs="仿宋"/>
          <w:color w:val="auto"/>
          <w:sz w:val="28"/>
          <w:szCs w:val="28"/>
          <w:highlight w:val="none"/>
        </w:rPr>
        <w:t>三、违约责任</w:t>
      </w:r>
      <w:bookmarkEnd w:id="10"/>
    </w:p>
    <w:p w14:paraId="7112FF7E">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如因甲方或乙方违约造成安全事故，将依法追究责任。</w:t>
      </w:r>
    </w:p>
    <w:p w14:paraId="732B4C75">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bookmarkStart w:id="11" w:name="_Toc452030789"/>
      <w:r>
        <w:rPr>
          <w:rFonts w:hint="eastAsia" w:ascii="仿宋" w:hAnsi="仿宋" w:eastAsia="仿宋" w:cs="仿宋"/>
          <w:color w:val="auto"/>
          <w:sz w:val="28"/>
          <w:szCs w:val="28"/>
          <w:highlight w:val="none"/>
        </w:rPr>
        <w:t>四、其他</w:t>
      </w:r>
      <w:bookmarkEnd w:id="11"/>
    </w:p>
    <w:p w14:paraId="574BF5CC">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1、本合同正本一式拾份，合同双方各执伍份，具有同等法律效力；</w:t>
      </w:r>
    </w:p>
    <w:p w14:paraId="110BAF89">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2、由双方法定代表人或其授权的代理人签署并加盖公章后生效，全部工程竣工验收后终止。</w:t>
      </w:r>
    </w:p>
    <w:p w14:paraId="15E246B6">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p>
    <w:tbl>
      <w:tblPr>
        <w:tblStyle w:val="5"/>
        <w:tblW w:w="0" w:type="auto"/>
        <w:tblInd w:w="-252" w:type="dxa"/>
        <w:tblLayout w:type="fixed"/>
        <w:tblCellMar>
          <w:top w:w="0" w:type="dxa"/>
          <w:left w:w="108" w:type="dxa"/>
          <w:bottom w:w="0" w:type="dxa"/>
          <w:right w:w="108" w:type="dxa"/>
        </w:tblCellMar>
      </w:tblPr>
      <w:tblGrid>
        <w:gridCol w:w="4680"/>
        <w:gridCol w:w="5096"/>
      </w:tblGrid>
      <w:tr w14:paraId="2313D7ED">
        <w:tblPrEx>
          <w:tblCellMar>
            <w:top w:w="0" w:type="dxa"/>
            <w:left w:w="108" w:type="dxa"/>
            <w:bottom w:w="0" w:type="dxa"/>
            <w:right w:w="108" w:type="dxa"/>
          </w:tblCellMar>
        </w:tblPrEx>
        <w:tc>
          <w:tcPr>
            <w:tcW w:w="4680" w:type="dxa"/>
            <w:noWrap w:val="0"/>
            <w:vAlign w:val="top"/>
          </w:tcPr>
          <w:p w14:paraId="310F05AC">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甲方：西安高新技术产业开发区公共项目建设管理中心 </w:t>
            </w:r>
          </w:p>
          <w:p w14:paraId="25FCD16A">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w:t>
            </w:r>
          </w:p>
          <w:p w14:paraId="5D99525C">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其授权的代理人： </w:t>
            </w:r>
          </w:p>
          <w:p w14:paraId="602EF5BB">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地址：高新区丝路创智谷6号楼</w:t>
            </w:r>
          </w:p>
          <w:p w14:paraId="73FBC154">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电话：029-81150161</w:t>
            </w:r>
          </w:p>
          <w:p w14:paraId="32104EB1">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p>
        </w:tc>
        <w:tc>
          <w:tcPr>
            <w:tcW w:w="5096" w:type="dxa"/>
            <w:noWrap w:val="0"/>
            <w:vAlign w:val="top"/>
          </w:tcPr>
          <w:p w14:paraId="790D5AA3">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乙方：  </w:t>
            </w:r>
          </w:p>
          <w:p w14:paraId="52DDFEA1">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w:t>
            </w:r>
          </w:p>
          <w:p w14:paraId="0AE8BFE8">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其授权的代理人：    </w:t>
            </w:r>
          </w:p>
          <w:p w14:paraId="42F9AA39">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地址：</w:t>
            </w:r>
          </w:p>
          <w:p w14:paraId="2FD6B9B0">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电话：</w:t>
            </w:r>
          </w:p>
          <w:p w14:paraId="003432FE">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w:t>
            </w:r>
          </w:p>
        </w:tc>
      </w:tr>
    </w:tbl>
    <w:p w14:paraId="21DBEAFA">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lang w:eastAsia="zh-CN"/>
        </w:rPr>
      </w:pPr>
      <w:r>
        <w:rPr>
          <w:rFonts w:hint="eastAsia" w:ascii="仿宋" w:hAnsi="仿宋" w:eastAsia="仿宋" w:cs="仿宋"/>
          <w:b/>
          <w:color w:val="auto"/>
          <w:sz w:val="28"/>
          <w:szCs w:val="28"/>
          <w:highlight w:val="none"/>
        </w:rPr>
        <w:br w:type="page"/>
      </w:r>
      <w:r>
        <w:rPr>
          <w:rFonts w:hint="eastAsia" w:ascii="仿宋" w:hAnsi="仿宋" w:eastAsia="仿宋" w:cs="仿宋"/>
          <w:b/>
          <w:color w:val="auto"/>
          <w:sz w:val="28"/>
          <w:szCs w:val="28"/>
          <w:highlight w:val="none"/>
        </w:rPr>
        <w:t>附录D</w:t>
      </w:r>
    </w:p>
    <w:p w14:paraId="32EB60B7">
      <w:pPr>
        <w:pStyle w:val="2"/>
        <w:rPr>
          <w:rFonts w:hint="eastAsia"/>
          <w:color w:val="auto"/>
          <w:highlight w:val="none"/>
          <w:lang w:eastAsia="zh-CN"/>
        </w:rPr>
      </w:pPr>
    </w:p>
    <w:p w14:paraId="5F6F2C6E">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b/>
          <w:color w:val="auto"/>
          <w:sz w:val="28"/>
          <w:szCs w:val="28"/>
          <w:highlight w:val="none"/>
        </w:rPr>
      </w:pPr>
      <w:bookmarkStart w:id="12" w:name="_Toc452030778"/>
      <w:r>
        <w:rPr>
          <w:rFonts w:hint="eastAsia" w:ascii="仿宋" w:hAnsi="仿宋" w:eastAsia="仿宋" w:cs="仿宋"/>
          <w:b/>
          <w:color w:val="auto"/>
          <w:sz w:val="28"/>
          <w:szCs w:val="28"/>
          <w:highlight w:val="none"/>
        </w:rPr>
        <w:t>项 目 总 监 委 托 书</w:t>
      </w:r>
      <w:bookmarkEnd w:id="12"/>
    </w:p>
    <w:p w14:paraId="6C1E7317">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b/>
          <w:color w:val="auto"/>
          <w:sz w:val="28"/>
          <w:szCs w:val="28"/>
          <w:highlight w:val="none"/>
        </w:rPr>
      </w:pPr>
    </w:p>
    <w:p w14:paraId="0065C30C">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bCs/>
          <w:color w:val="auto"/>
          <w:sz w:val="28"/>
          <w:szCs w:val="28"/>
          <w:highlight w:val="none"/>
          <w:lang w:eastAsia="zh-CN"/>
        </w:rPr>
      </w:pPr>
      <w:r>
        <w:rPr>
          <w:rFonts w:hint="eastAsia" w:ascii="仿宋" w:hAnsi="仿宋" w:eastAsia="仿宋" w:cs="仿宋"/>
          <w:color w:val="auto"/>
          <w:sz w:val="28"/>
          <w:szCs w:val="28"/>
          <w:highlight w:val="none"/>
        </w:rPr>
        <w:t>致：</w:t>
      </w:r>
    </w:p>
    <w:p w14:paraId="72DEBE8F">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w:t>
      </w:r>
      <w:r>
        <w:rPr>
          <w:rFonts w:hint="eastAsia" w:ascii="仿宋" w:hAnsi="仿宋" w:eastAsia="仿宋" w:cs="仿宋"/>
          <w:color w:val="auto"/>
          <w:sz w:val="28"/>
          <w:szCs w:val="28"/>
          <w:highlight w:val="none"/>
          <w:lang w:eastAsia="zh-CN"/>
        </w:rPr>
        <w:t>竞争性磋商文件</w:t>
      </w:r>
      <w:r>
        <w:rPr>
          <w:rFonts w:hint="eastAsia" w:ascii="仿宋" w:hAnsi="仿宋" w:eastAsia="仿宋" w:cs="仿宋"/>
          <w:color w:val="auto"/>
          <w:sz w:val="28"/>
          <w:szCs w:val="28"/>
          <w:highlight w:val="none"/>
        </w:rPr>
        <w:t>》的要求，现委托我公司</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同志为我公司中标项目</w:t>
      </w:r>
      <w:r>
        <w:rPr>
          <w:rFonts w:hint="eastAsia" w:ascii="仿宋" w:hAnsi="仿宋" w:eastAsia="仿宋" w:cs="仿宋"/>
          <w:bCs/>
          <w:color w:val="auto"/>
          <w:sz w:val="28"/>
          <w:szCs w:val="28"/>
          <w:highlight w:val="none"/>
          <w:u w:val="single"/>
        </w:rPr>
        <w:t>高新区枣林六街市政道路建设项目监理</w:t>
      </w:r>
      <w:r>
        <w:rPr>
          <w:rFonts w:hint="eastAsia" w:ascii="仿宋" w:hAnsi="仿宋" w:eastAsia="仿宋" w:cs="仿宋"/>
          <w:bCs/>
          <w:color w:val="auto"/>
          <w:sz w:val="28"/>
          <w:szCs w:val="28"/>
          <w:highlight w:val="none"/>
        </w:rPr>
        <w:t>工程</w:t>
      </w:r>
      <w:r>
        <w:rPr>
          <w:rFonts w:hint="eastAsia" w:ascii="仿宋" w:hAnsi="仿宋" w:eastAsia="仿宋" w:cs="仿宋"/>
          <w:color w:val="auto"/>
          <w:sz w:val="28"/>
          <w:szCs w:val="28"/>
          <w:highlight w:val="none"/>
        </w:rPr>
        <w:t>的总监理工程师，并负责处理该工程总监办一切监理。</w:t>
      </w:r>
    </w:p>
    <w:p w14:paraId="15256375">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p>
    <w:p w14:paraId="37DAE648">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p>
    <w:p w14:paraId="70EB45F5">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p>
    <w:p w14:paraId="730E62BF">
      <w:pPr>
        <w:keepNext w:val="0"/>
        <w:keepLines w:val="0"/>
        <w:pageBreakBefore w:val="0"/>
        <w:widowControl/>
        <w:kinsoku w:val="0"/>
        <w:overflowPunct/>
        <w:topLinePunct w:val="0"/>
        <w:autoSpaceDE w:val="0"/>
        <w:autoSpaceDN w:val="0"/>
        <w:bidi w:val="0"/>
        <w:adjustRightInd w:val="0"/>
        <w:snapToGrid w:val="0"/>
        <w:spacing w:line="360" w:lineRule="auto"/>
        <w:ind w:firstLine="840" w:firstLineChars="3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委托单位：西安高新技术产业开发区公共项目建设管理中心</w:t>
      </w:r>
    </w:p>
    <w:p w14:paraId="0FCA0F82">
      <w:pPr>
        <w:keepNext w:val="0"/>
        <w:keepLines w:val="0"/>
        <w:pageBreakBefore w:val="0"/>
        <w:widowControl/>
        <w:kinsoku w:val="0"/>
        <w:overflowPunct/>
        <w:topLinePunct w:val="0"/>
        <w:autoSpaceDE w:val="0"/>
        <w:autoSpaceDN w:val="0"/>
        <w:bidi w:val="0"/>
        <w:adjustRightInd w:val="0"/>
        <w:snapToGrid w:val="0"/>
        <w:spacing w:line="360" w:lineRule="auto"/>
        <w:ind w:firstLine="3640" w:firstLineChars="1300"/>
        <w:textAlignment w:val="baseline"/>
        <w:outlineLvl w:val="9"/>
        <w:rPr>
          <w:rFonts w:hint="eastAsia" w:ascii="仿宋" w:hAnsi="仿宋" w:eastAsia="仿宋" w:cs="仿宋"/>
          <w:color w:val="auto"/>
          <w:sz w:val="28"/>
          <w:szCs w:val="28"/>
          <w:highlight w:val="none"/>
        </w:rPr>
      </w:pPr>
    </w:p>
    <w:p w14:paraId="00D1127F">
      <w:pPr>
        <w:keepNext w:val="0"/>
        <w:keepLines w:val="0"/>
        <w:pageBreakBefore w:val="0"/>
        <w:widowControl/>
        <w:kinsoku w:val="0"/>
        <w:overflowPunct/>
        <w:topLinePunct w:val="0"/>
        <w:autoSpaceDE w:val="0"/>
        <w:autoSpaceDN w:val="0"/>
        <w:bidi w:val="0"/>
        <w:adjustRightInd w:val="0"/>
        <w:snapToGrid w:val="0"/>
        <w:spacing w:line="360" w:lineRule="auto"/>
        <w:ind w:firstLine="840" w:firstLineChars="300"/>
        <w:jc w:val="both"/>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委托单位法人代表</w:t>
      </w:r>
      <w:r>
        <w:rPr>
          <w:rFonts w:hint="eastAsia" w:ascii="仿宋" w:hAnsi="仿宋" w:eastAsia="仿宋" w:cs="仿宋"/>
          <w:color w:val="auto"/>
          <w:sz w:val="28"/>
          <w:szCs w:val="28"/>
          <w:highlight w:val="none"/>
          <w:u w:val="single"/>
        </w:rPr>
        <w:t>：           （</w:t>
      </w:r>
      <w:r>
        <w:rPr>
          <w:rFonts w:hint="eastAsia" w:ascii="仿宋" w:hAnsi="仿宋" w:eastAsia="仿宋" w:cs="仿宋"/>
          <w:color w:val="auto"/>
          <w:sz w:val="28"/>
          <w:szCs w:val="28"/>
          <w:highlight w:val="none"/>
        </w:rPr>
        <w:t>签字或盖章）</w:t>
      </w:r>
    </w:p>
    <w:p w14:paraId="5779F81A">
      <w:pPr>
        <w:keepNext w:val="0"/>
        <w:keepLines w:val="0"/>
        <w:pageBreakBefore w:val="0"/>
        <w:widowControl/>
        <w:kinsoku w:val="0"/>
        <w:overflowPunct/>
        <w:topLinePunct w:val="0"/>
        <w:autoSpaceDE w:val="0"/>
        <w:autoSpaceDN w:val="0"/>
        <w:bidi w:val="0"/>
        <w:adjustRightInd w:val="0"/>
        <w:snapToGrid w:val="0"/>
        <w:spacing w:line="360" w:lineRule="auto"/>
        <w:jc w:val="right"/>
        <w:textAlignment w:val="baseline"/>
        <w:outlineLvl w:val="9"/>
        <w:rPr>
          <w:rFonts w:hint="eastAsia" w:ascii="仿宋" w:hAnsi="仿宋" w:eastAsia="仿宋" w:cs="仿宋"/>
          <w:color w:val="auto"/>
          <w:sz w:val="28"/>
          <w:szCs w:val="28"/>
          <w:highlight w:val="none"/>
        </w:rPr>
      </w:pPr>
    </w:p>
    <w:p w14:paraId="0A20B1E1">
      <w:pPr>
        <w:keepNext w:val="0"/>
        <w:keepLines w:val="0"/>
        <w:pageBreakBefore w:val="0"/>
        <w:widowControl/>
        <w:kinsoku w:val="0"/>
        <w:overflowPunct/>
        <w:topLinePunct w:val="0"/>
        <w:autoSpaceDE w:val="0"/>
        <w:autoSpaceDN w:val="0"/>
        <w:bidi w:val="0"/>
        <w:adjustRightInd w:val="0"/>
        <w:snapToGrid w:val="0"/>
        <w:spacing w:line="360" w:lineRule="auto"/>
        <w:ind w:firstLine="840" w:firstLineChars="300"/>
        <w:jc w:val="both"/>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  委  托  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签字）</w:t>
      </w:r>
    </w:p>
    <w:p w14:paraId="3EC4ABA9">
      <w:pPr>
        <w:keepNext w:val="0"/>
        <w:keepLines w:val="0"/>
        <w:pageBreakBefore w:val="0"/>
        <w:widowControl/>
        <w:kinsoku w:val="0"/>
        <w:overflowPunct/>
        <w:topLinePunct w:val="0"/>
        <w:autoSpaceDE w:val="0"/>
        <w:autoSpaceDN w:val="0"/>
        <w:bidi w:val="0"/>
        <w:adjustRightInd w:val="0"/>
        <w:snapToGrid w:val="0"/>
        <w:spacing w:line="360" w:lineRule="auto"/>
        <w:jc w:val="right"/>
        <w:textAlignment w:val="baseline"/>
        <w:outlineLvl w:val="9"/>
        <w:rPr>
          <w:rFonts w:hint="eastAsia" w:ascii="仿宋" w:hAnsi="仿宋" w:eastAsia="仿宋" w:cs="仿宋"/>
          <w:color w:val="auto"/>
          <w:sz w:val="28"/>
          <w:szCs w:val="28"/>
          <w:highlight w:val="none"/>
        </w:rPr>
      </w:pPr>
    </w:p>
    <w:p w14:paraId="250A36FE">
      <w:pPr>
        <w:keepNext w:val="0"/>
        <w:keepLines w:val="0"/>
        <w:pageBreakBefore w:val="0"/>
        <w:widowControl/>
        <w:kinsoku w:val="0"/>
        <w:wordWrap w:val="0"/>
        <w:overflowPunct/>
        <w:topLinePunct w:val="0"/>
        <w:autoSpaceDE w:val="0"/>
        <w:autoSpaceDN w:val="0"/>
        <w:bidi w:val="0"/>
        <w:adjustRightInd w:val="0"/>
        <w:snapToGrid w:val="0"/>
        <w:spacing w:line="360" w:lineRule="auto"/>
        <w:ind w:right="280"/>
        <w:jc w:val="right"/>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    年  月  日</w:t>
      </w:r>
    </w:p>
    <w:p w14:paraId="670E3955">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br w:type="page"/>
      </w:r>
      <w:r>
        <w:rPr>
          <w:rFonts w:hint="eastAsia" w:ascii="仿宋" w:hAnsi="仿宋" w:eastAsia="仿宋" w:cs="仿宋"/>
          <w:b/>
          <w:color w:val="auto"/>
          <w:sz w:val="28"/>
          <w:szCs w:val="28"/>
          <w:highlight w:val="none"/>
        </w:rPr>
        <w:t>附录E</w:t>
      </w:r>
    </w:p>
    <w:p w14:paraId="2E86633C">
      <w:pPr>
        <w:keepNext w:val="0"/>
        <w:keepLines w:val="0"/>
        <w:pageBreakBefore w:val="0"/>
        <w:widowControl/>
        <w:kinsoku w:val="0"/>
        <w:overflowPunct/>
        <w:topLinePunct w:val="0"/>
        <w:autoSpaceDE w:val="0"/>
        <w:autoSpaceDN w:val="0"/>
        <w:bidi w:val="0"/>
        <w:adjustRightInd w:val="0"/>
        <w:snapToGrid w:val="0"/>
        <w:spacing w:line="360" w:lineRule="auto"/>
        <w:jc w:val="center"/>
        <w:textAlignment w:val="baseline"/>
        <w:outlineLvl w:val="9"/>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建设工程廉政合同</w:t>
      </w:r>
    </w:p>
    <w:p w14:paraId="53DF8E68">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根据有关工程建设、廉政建设的条规，为做好工程建设中的党风廉政建设，保证工程建设高效优质，保证建设资金的安全和有效使用以及投资效益，业主（以下称甲方）与监理单位</w:t>
      </w:r>
      <w:r>
        <w:rPr>
          <w:rFonts w:hint="eastAsia" w:ascii="仿宋" w:hAnsi="仿宋" w:eastAsia="仿宋" w:cs="仿宋"/>
          <w:bCs/>
          <w:color w:val="auto"/>
          <w:sz w:val="28"/>
          <w:szCs w:val="28"/>
          <w:highlight w:val="none"/>
          <w:u w:val="single"/>
        </w:rPr>
        <w:t xml:space="preserve">                    </w:t>
      </w:r>
      <w:r>
        <w:rPr>
          <w:rFonts w:hint="eastAsia" w:ascii="仿宋" w:hAnsi="仿宋" w:eastAsia="仿宋" w:cs="仿宋"/>
          <w:color w:val="auto"/>
          <w:sz w:val="28"/>
          <w:szCs w:val="28"/>
          <w:highlight w:val="none"/>
        </w:rPr>
        <w:t>（以下称乙方）特订立如下合同。</w:t>
      </w:r>
    </w:p>
    <w:p w14:paraId="1294DC85">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bookmarkStart w:id="13" w:name="_Toc452030779"/>
      <w:r>
        <w:rPr>
          <w:rFonts w:hint="eastAsia" w:ascii="仿宋" w:hAnsi="仿宋" w:eastAsia="仿宋" w:cs="仿宋"/>
          <w:color w:val="auto"/>
          <w:sz w:val="28"/>
          <w:szCs w:val="28"/>
          <w:highlight w:val="none"/>
        </w:rPr>
        <w:t>第一条  甲乙双方的权利和义务</w:t>
      </w:r>
      <w:bookmarkEnd w:id="13"/>
    </w:p>
    <w:p w14:paraId="1F179F8D">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（一）严格遵守党和国家有关法律法规及交通部的有关廉政规定。</w:t>
      </w:r>
    </w:p>
    <w:p w14:paraId="4BF5B6DC">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（二）严格执行</w:t>
      </w:r>
      <w:r>
        <w:rPr>
          <w:rFonts w:hint="eastAsia" w:ascii="仿宋" w:hAnsi="仿宋" w:eastAsia="仿宋" w:cs="仿宋"/>
          <w:bCs/>
          <w:color w:val="auto"/>
          <w:sz w:val="28"/>
          <w:szCs w:val="28"/>
          <w:highlight w:val="none"/>
          <w:u w:val="single"/>
        </w:rPr>
        <w:t>高新区枣林六街市政道路建设项目监理</w:t>
      </w:r>
      <w:r>
        <w:rPr>
          <w:rFonts w:hint="eastAsia" w:ascii="仿宋" w:hAnsi="仿宋" w:eastAsia="仿宋" w:cs="仿宋"/>
          <w:color w:val="auto"/>
          <w:sz w:val="28"/>
          <w:szCs w:val="28"/>
          <w:highlight w:val="none"/>
        </w:rPr>
        <w:t>监理合同文件，自觉按合同办事。</w:t>
      </w:r>
    </w:p>
    <w:p w14:paraId="21EFE6BD">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（三）双方的业务活动坚持公开、公正、诚信、透明的原则(除法律认定的商业秘密和合同文件另有规定之外)，不得损害国家和集体利益，违反工程建设管理规章制度。</w:t>
      </w:r>
    </w:p>
    <w:p w14:paraId="7149D0DA">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（四）建立健全廉政制度，开展廉政教育，设立廉政告示牌，公布举报电话，监督并认真查处违法违纪行为。</w:t>
      </w:r>
    </w:p>
    <w:p w14:paraId="14BF57BA">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（五）发现对方在业务活动中有违反廉政规定的行为，有及时提醒对方纠正的权利和义务。</w:t>
      </w:r>
    </w:p>
    <w:p w14:paraId="57CF0581">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（六）发现对方严重违反本合同义务条款的行为，有向其上级有关部门举报、建议给予处理并要求告知处理结果的权利。</w:t>
      </w:r>
    </w:p>
    <w:p w14:paraId="697B6224">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bookmarkStart w:id="14" w:name="_Toc452030780"/>
      <w:r>
        <w:rPr>
          <w:rFonts w:hint="eastAsia" w:ascii="仿宋" w:hAnsi="仿宋" w:eastAsia="仿宋" w:cs="仿宋"/>
          <w:color w:val="auto"/>
          <w:sz w:val="28"/>
          <w:szCs w:val="28"/>
          <w:highlight w:val="none"/>
        </w:rPr>
        <w:t>第二条  甲方的义务</w:t>
      </w:r>
      <w:bookmarkEnd w:id="14"/>
    </w:p>
    <w:p w14:paraId="1A855F69">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（一）甲方及其工作人员不得索要或接受乙方的礼金、有价证券和贵重物品，不得在乙方报销任何应由甲方或个人支付的费用。</w:t>
      </w:r>
    </w:p>
    <w:p w14:paraId="13DB6047">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（二）甲方工作人员不得参加乙方安排的高消费宴请和娱乐活动；不得接受乙方提供的通讯工具、交通工具和高档办公用品。</w:t>
      </w:r>
    </w:p>
    <w:p w14:paraId="6F774C94">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（三）甲方及其工作人员不得要求或者接受乙方为其住房装修、婚丧嫁娶活动、配偶子女的工作安排以及出国出境、旅游等提供方便。</w:t>
      </w:r>
    </w:p>
    <w:p w14:paraId="0FEE69B8">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（四）甲方工作人员的配偶、子女及亲属不得从事与甲方工程有关的监理分包项目。</w:t>
      </w:r>
    </w:p>
    <w:p w14:paraId="25A36BF2">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bookmarkStart w:id="15" w:name="_Toc452030781"/>
      <w:r>
        <w:rPr>
          <w:rFonts w:hint="eastAsia" w:ascii="仿宋" w:hAnsi="仿宋" w:eastAsia="仿宋" w:cs="仿宋"/>
          <w:color w:val="auto"/>
          <w:sz w:val="28"/>
          <w:szCs w:val="28"/>
          <w:highlight w:val="none"/>
        </w:rPr>
        <w:t>第三条  乙方义务</w:t>
      </w:r>
      <w:bookmarkEnd w:id="15"/>
    </w:p>
    <w:p w14:paraId="3D6DBF2D">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（一）乙方不得以任何理由向甲方及其工作人员馈赠礼金、有价证券、贵重礼品。</w:t>
      </w:r>
    </w:p>
    <w:p w14:paraId="1A31A14E">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（二）乙方不得以任何名义为甲方及其工作人员报销应由甲方单位或个人支付的任何费用。</w:t>
      </w:r>
    </w:p>
    <w:p w14:paraId="10632968">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（三）乙方不得以任何理由安排甲方工作人员参加高消费宴请及娱乐活动。</w:t>
      </w:r>
    </w:p>
    <w:p w14:paraId="44F61211">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（四）乙方不得为甲方单位和个人购置或提供通讯工具、交通工具和高档办公用品等。</w:t>
      </w:r>
    </w:p>
    <w:p w14:paraId="312313C1">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（五）乙方及其工作人员不得索取或接受施工单位的礼金、有价证券和贵重物品，不得在施工单位报销任何应由乙方或个人支付的费用。</w:t>
      </w:r>
    </w:p>
    <w:p w14:paraId="6D41928E">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（六）乙方及其工作人员不得要求和接受施工单位为其住房装修、婚丧嫁娶活动、配偶子女的工作安排以及出国出境、旅游等提供方便。</w:t>
      </w:r>
    </w:p>
    <w:p w14:paraId="0524006A">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（七）乙方及其工作人员不得参与施工单位安排的高消费宴请和娱乐活动；不得接受施工单位提供的通讯工具、交通工具和高档办公用品。</w:t>
      </w:r>
    </w:p>
    <w:p w14:paraId="563ADB0D">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bookmarkStart w:id="16" w:name="_Toc452030782"/>
      <w:r>
        <w:rPr>
          <w:rFonts w:hint="eastAsia" w:ascii="仿宋" w:hAnsi="仿宋" w:eastAsia="仿宋" w:cs="仿宋"/>
          <w:color w:val="auto"/>
          <w:sz w:val="28"/>
          <w:szCs w:val="28"/>
          <w:highlight w:val="none"/>
        </w:rPr>
        <w:t>第四条  违约责任</w:t>
      </w:r>
      <w:bookmarkEnd w:id="16"/>
    </w:p>
    <w:p w14:paraId="7570DBCC">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（一）甲方及其工作人员违反本合同第一、二条，按管理权限，依据有关规定给予党纪、政纪或组织处理；涉嫌犯罪的，移交司法机关追究刑事责任；给乙方单位造成经济损失的，应予以赔偿。</w:t>
      </w:r>
    </w:p>
    <w:p w14:paraId="3AD62BD6">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乙方及其工作人员违反本合同第一、三条，按管理权限，依据有关规定，给予党纪、政纪或组织处理；给甲方单位造成经济损失的，应予以赔偿；情节严重的，甲方建议工程建设主管部门给予乙方一至三年内不得进入其主管的交通工程建设市场的违约金。</w:t>
      </w:r>
    </w:p>
    <w:p w14:paraId="0ED1C430">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bookmarkStart w:id="17" w:name="_Toc452030783"/>
      <w:r>
        <w:rPr>
          <w:rFonts w:hint="eastAsia" w:ascii="仿宋" w:hAnsi="仿宋" w:eastAsia="仿宋" w:cs="仿宋"/>
          <w:color w:val="auto"/>
          <w:sz w:val="28"/>
          <w:szCs w:val="28"/>
          <w:highlight w:val="none"/>
        </w:rPr>
        <w:t>第五条  双方约定</w:t>
      </w:r>
      <w:bookmarkEnd w:id="17"/>
    </w:p>
    <w:p w14:paraId="646BA5DE">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本合同由双方或双方上级单位的纪检监察机关负责监督执行。由甲方或甲方上级单位的纪检监察机关约请乙方或乙方上级单位纪检监察机关对本合同执行情况进行检查；提出在本合同规定范围内的裁定意见。</w:t>
      </w:r>
    </w:p>
    <w:p w14:paraId="5E480A34">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bookmarkStart w:id="18" w:name="_Toc452030784"/>
      <w:r>
        <w:rPr>
          <w:rFonts w:hint="eastAsia" w:ascii="仿宋" w:hAnsi="仿宋" w:eastAsia="仿宋" w:cs="仿宋"/>
          <w:color w:val="auto"/>
          <w:sz w:val="28"/>
          <w:szCs w:val="28"/>
          <w:highlight w:val="none"/>
        </w:rPr>
        <w:t>第六条  本合同有效期</w:t>
      </w:r>
      <w:bookmarkEnd w:id="18"/>
    </w:p>
    <w:p w14:paraId="43551F6A">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本合同有效期为甲乙双方签署之日起至该工程项目竣工验收后止。</w:t>
      </w:r>
    </w:p>
    <w:p w14:paraId="0B36E84D">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bookmarkStart w:id="19" w:name="_Toc452030785"/>
      <w:r>
        <w:rPr>
          <w:rFonts w:hint="eastAsia" w:ascii="仿宋" w:hAnsi="仿宋" w:eastAsia="仿宋" w:cs="仿宋"/>
          <w:color w:val="auto"/>
          <w:sz w:val="28"/>
          <w:szCs w:val="28"/>
          <w:highlight w:val="none"/>
        </w:rPr>
        <w:t>第七条  本合同一式拾份，甲、乙双方各执伍份。</w:t>
      </w:r>
      <w:bookmarkEnd w:id="19"/>
    </w:p>
    <w:tbl>
      <w:tblPr>
        <w:tblStyle w:val="5"/>
        <w:tblW w:w="0" w:type="auto"/>
        <w:tblInd w:w="-252" w:type="dxa"/>
        <w:tblLayout w:type="fixed"/>
        <w:tblCellMar>
          <w:top w:w="0" w:type="dxa"/>
          <w:left w:w="108" w:type="dxa"/>
          <w:bottom w:w="0" w:type="dxa"/>
          <w:right w:w="108" w:type="dxa"/>
        </w:tblCellMar>
      </w:tblPr>
      <w:tblGrid>
        <w:gridCol w:w="4916"/>
        <w:gridCol w:w="4963"/>
      </w:tblGrid>
      <w:tr w14:paraId="6C46B98F">
        <w:tblPrEx>
          <w:tblCellMar>
            <w:top w:w="0" w:type="dxa"/>
            <w:left w:w="108" w:type="dxa"/>
            <w:bottom w:w="0" w:type="dxa"/>
            <w:right w:w="108" w:type="dxa"/>
          </w:tblCellMar>
        </w:tblPrEx>
        <w:tc>
          <w:tcPr>
            <w:tcW w:w="4916" w:type="dxa"/>
            <w:noWrap w:val="0"/>
            <w:vAlign w:val="top"/>
          </w:tcPr>
          <w:p w14:paraId="36EF865B">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p>
          <w:p w14:paraId="33B22939">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甲方：西安高新技术产业开发区公共项目建设管理中心</w:t>
            </w:r>
            <w:bookmarkStart w:id="20" w:name="_GoBack"/>
            <w:bookmarkEnd w:id="20"/>
          </w:p>
          <w:p w14:paraId="5AC53D37">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w:t>
            </w:r>
          </w:p>
          <w:p w14:paraId="7C5606A0">
            <w:pPr>
              <w:keepNext w:val="0"/>
              <w:keepLines w:val="0"/>
              <w:pageBreakBefore w:val="0"/>
              <w:widowControl/>
              <w:kinsoku w:val="0"/>
              <w:overflowPunct/>
              <w:topLinePunct w:val="0"/>
              <w:autoSpaceDE w:val="0"/>
              <w:autoSpaceDN w:val="0"/>
              <w:bidi w:val="0"/>
              <w:adjustRightInd w:val="0"/>
              <w:snapToGrid w:val="0"/>
              <w:spacing w:line="360" w:lineRule="auto"/>
              <w:ind w:firstLine="0" w:firstLineChars="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其授权的代理人：（签字或盖章） </w:t>
            </w:r>
          </w:p>
          <w:p w14:paraId="74C1F37A">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p>
        </w:tc>
        <w:tc>
          <w:tcPr>
            <w:tcW w:w="4963" w:type="dxa"/>
            <w:noWrap w:val="0"/>
            <w:vAlign w:val="top"/>
          </w:tcPr>
          <w:p w14:paraId="6BA78F6A">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p>
          <w:p w14:paraId="6596893B">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乙方： </w:t>
            </w:r>
          </w:p>
          <w:p w14:paraId="7F888A04">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w:t>
            </w:r>
          </w:p>
          <w:p w14:paraId="3A9958E3">
            <w:pPr>
              <w:keepNext w:val="0"/>
              <w:keepLines w:val="0"/>
              <w:pageBreakBefore w:val="0"/>
              <w:widowControl/>
              <w:kinsoku w:val="0"/>
              <w:overflowPunct/>
              <w:topLinePunct w:val="0"/>
              <w:autoSpaceDE w:val="0"/>
              <w:autoSpaceDN w:val="0"/>
              <w:bidi w:val="0"/>
              <w:adjustRightInd w:val="0"/>
              <w:snapToGrid w:val="0"/>
              <w:spacing w:line="360" w:lineRule="auto"/>
              <w:ind w:firstLine="0" w:firstLineChars="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其授权的代理人： （签字或盖章） </w:t>
            </w:r>
          </w:p>
          <w:p w14:paraId="4540396E">
            <w:pPr>
              <w:keepNext w:val="0"/>
              <w:keepLines w:val="0"/>
              <w:pageBreakBefore w:val="0"/>
              <w:widowControl/>
              <w:kinsoku w:val="0"/>
              <w:overflowPunct/>
              <w:topLinePunct w:val="0"/>
              <w:autoSpaceDE w:val="0"/>
              <w:autoSpaceDN w:val="0"/>
              <w:bidi w:val="0"/>
              <w:adjustRightInd w:val="0"/>
              <w:snapToGrid w:val="0"/>
              <w:spacing w:line="360" w:lineRule="auto"/>
              <w:textAlignment w:val="baseline"/>
              <w:outlineLvl w:val="9"/>
              <w:rPr>
                <w:rFonts w:hint="eastAsia" w:ascii="仿宋" w:hAnsi="仿宋" w:eastAsia="仿宋" w:cs="仿宋"/>
                <w:color w:val="auto"/>
                <w:sz w:val="28"/>
                <w:szCs w:val="28"/>
                <w:highlight w:val="none"/>
              </w:rPr>
            </w:pPr>
          </w:p>
          <w:p w14:paraId="57D01A75">
            <w:pPr>
              <w:keepNext w:val="0"/>
              <w:keepLines w:val="0"/>
              <w:pageBreakBefore w:val="0"/>
              <w:widowControl/>
              <w:kinsoku w:val="0"/>
              <w:overflowPunct/>
              <w:topLinePunct w:val="0"/>
              <w:autoSpaceDE w:val="0"/>
              <w:autoSpaceDN w:val="0"/>
              <w:bidi w:val="0"/>
              <w:adjustRightInd w:val="0"/>
              <w:snapToGrid w:val="0"/>
              <w:spacing w:line="360" w:lineRule="auto"/>
              <w:ind w:firstLine="560" w:firstLineChars="200"/>
              <w:textAlignment w:val="baseline"/>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w:t>
            </w:r>
          </w:p>
        </w:tc>
      </w:tr>
    </w:tbl>
    <w:p w14:paraId="5F00A63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jM2I5NmY0MjFlN2NlZjMxNGEzMTJmZmIyZTMwMjkifQ=="/>
  </w:docVars>
  <w:rsids>
    <w:rsidRoot w:val="00000000"/>
    <w:rsid w:val="010158D6"/>
    <w:rsid w:val="1C3544B5"/>
    <w:rsid w:val="3FF61A3B"/>
    <w:rsid w:val="49236556"/>
    <w:rsid w:val="4CAE1A3B"/>
    <w:rsid w:val="79465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semiHidden/>
    <w:qFormat/>
    <w:uiPriority w:val="0"/>
    <w:rPr>
      <w:rFonts w:ascii="Arial" w:hAnsi="Arial" w:eastAsia="Arial" w:cs="Arial"/>
      <w:sz w:val="21"/>
      <w:szCs w:val="21"/>
      <w:lang w:val="en-US" w:eastAsia="en-US" w:bidi="ar-SA"/>
    </w:rPr>
  </w:style>
  <w:style w:type="paragraph" w:customStyle="1" w:styleId="3">
    <w:name w:val="_Style 3"/>
    <w:basedOn w:val="1"/>
    <w:qFormat/>
    <w:uiPriority w:val="34"/>
    <w:pPr>
      <w:ind w:firstLine="420" w:firstLineChars="200"/>
    </w:pPr>
    <w:rPr>
      <w:rFonts w:ascii="Calibri" w:hAnsi="Calibri" w:eastAsia="宋体" w:cs="Times New Roman"/>
      <w:szCs w:val="22"/>
    </w:rPr>
  </w:style>
  <w:style w:type="paragraph" w:styleId="4">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16554</Words>
  <Characters>17230</Characters>
  <Lines>0</Lines>
  <Paragraphs>0</Paragraphs>
  <TotalTime>1</TotalTime>
  <ScaleCrop>false</ScaleCrop>
  <LinksUpToDate>false</LinksUpToDate>
  <CharactersWithSpaces>18145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2024-10-09T08:02:00Z</dcterms:created>
  <dc:creator>123</dc:creator>
  <cp:lastModifiedBy>82906579</cp:lastModifiedBy>
  <dcterms:modified xsi:type="dcterms:W3CDTF">2025-07-22T02:57:45Z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778B9DE3132E4C23AB2AE716F0B2E6AF_12</vt:lpwstr>
  </property>
  <property fmtid="{D5CDD505-2E9C-101B-9397-08002B2CF9AE}" pid="4" name="KSOTemplateDocerSaveRecord">
    <vt:lpwstr>eyJoZGlkIjoiZjBkMjI4M2FlY2ExYWNjNTZmOWZkNmQ0MjM5N2RmNzciLCJ1c2VySWQiOiIyODQ2NzkzNTAifQ==</vt:lpwstr>
  </property>
</Properties>
</file>