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版本号：ZD0525-028ZGX20250721001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高新区枣林六街市政道路建设项目监理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ZD0525-028ZGX</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高新区枣林六街市政道路建设项目监理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ZD0525-028ZGX</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高新区枣林六街市政道路建设项目监理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高新区枣林六街市政道路建设项目全过程及保修阶段的全部监理工作内容，同时承担相关协调工作。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采购包1（高新区枣林六街市政道路建设项目监理）：属于专门面向中小企业采购。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1、资质证书：供应商具备工程监理综合资质或市政公用工程专业监理乙级及以上资质。</w:t>
      </w:r>
    </w:p>
    <w:p>
      <w:pPr>
        <w:pStyle w:val="null3"/>
      </w:pPr>
      <w:r>
        <w:rPr>
          <w:rFonts w:ascii="仿宋_GB2312" w:hAnsi="仿宋_GB2312" w:cs="仿宋_GB2312" w:eastAsia="仿宋_GB2312"/>
        </w:rPr>
        <w:t>2、拟派总监理工程师：拟派项目总监理工程师须具备注册监理工程师执业资格（市政公用工程专业），在本单位注册，且未担任其他在建工程项目的总监理工程师。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唐一萌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029-89181345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采购包1：332,200.00元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办法》(计价格[2002]1980号)和《国家发展改革委关于降低部分建设项目收费标准规范收费行为等有关问题的通知》（发改价格[2011]534号）等文件规定下浮58%执行，不足5000元，按照5000元计取。在中标单位在领取中标通知书前，须向招标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供应商提出验收申请，采购人及时组织验收，验收合格后出具验收报告。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联系人：唐一萌</w:t>
      </w:r>
    </w:p>
    <w:p>
      <w:pPr>
        <w:pStyle w:val="null3"/>
      </w:pPr>
      <w:r>
        <w:rPr>
          <w:rFonts w:ascii="仿宋_GB2312" w:hAnsi="仿宋_GB2312" w:cs="仿宋_GB2312" w:eastAsia="仿宋_GB2312"/>
        </w:rPr>
        <w:t>联系电话：029-89181345</w:t>
      </w:r>
    </w:p>
    <w:p>
      <w:pPr>
        <w:pStyle w:val="null3"/>
      </w:pPr>
      <w:r>
        <w:rPr>
          <w:rFonts w:ascii="仿宋_GB2312" w:hAnsi="仿宋_GB2312" w:cs="仿宋_GB2312" w:eastAsia="仿宋_GB2312"/>
        </w:rPr>
        <w:t>地址：陕西省西安市雁塔区南二环东段22号凯森盛世1号A座27层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高新区枣林六街市政道路建设项目全过程及保修阶段的全部监理工作内容，同时承担相关协调工作。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332,200.00</w:t>
      </w:r>
    </w:p>
    <w:p>
      <w:pPr>
        <w:pStyle w:val="null3"/>
      </w:pPr>
      <w:r>
        <w:rPr>
          <w:rFonts w:ascii="仿宋_GB2312" w:hAnsi="仿宋_GB2312" w:cs="仿宋_GB2312" w:eastAsia="仿宋_GB2312"/>
        </w:rPr>
        <w:t>采购包最高限价（元）: 332,200.00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高新区枣林六街市政道路建设项目监理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332,200.00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标的名称：高新区枣林六街市政道路建设项目监理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一、基本要求</w:t>
            </w:r>
            <w:r>
              <w:br/>
            </w:r>
            <w:r>
              <w:rPr>
                <w:rFonts w:ascii="仿宋_GB2312" w:hAnsi="仿宋_GB2312" w:cs="仿宋_GB2312" w:eastAsia="仿宋_GB2312"/>
              </w:rPr>
              <w:t xml:space="preserve"> 1、项目概况：高新区枣林六街市政道路建设项目全过程及保修阶段的全部监理工作内容，同时承担相关协调工作。</w:t>
            </w:r>
            <w:r>
              <w:br/>
            </w:r>
            <w:r>
              <w:rPr>
                <w:rFonts w:ascii="仿宋_GB2312" w:hAnsi="仿宋_GB2312" w:cs="仿宋_GB2312" w:eastAsia="仿宋_GB2312"/>
              </w:rPr>
              <w:t xml:space="preserve"> 2、采购项目需要落实的政府采购政策：</w:t>
            </w:r>
            <w:r>
              <w:br/>
            </w:r>
            <w:r>
              <w:rPr>
                <w:rFonts w:ascii="仿宋_GB2312" w:hAnsi="仿宋_GB2312" w:cs="仿宋_GB2312" w:eastAsia="仿宋_GB2312"/>
              </w:rPr>
              <w:t xml:space="preserve"> （1）中小企业发展政策：《政府采购促进中小企业发展管理办法》（财库[2020]46号）；《财政部、司法部关于政府采购支持监狱企业发展有关问题的通知》（财库[2014]68号）；《关于促进残疾人就业政府采购政策的通知》（财库[2017]141号）；《财政部关于进一步加大政府采购支持中小企业力度的通知》（财库〔2022〕19号）；《陕西省中小企业政府采购信用融资办法》（陕财办采[2018]23号）。</w:t>
            </w:r>
            <w:r>
              <w:br/>
            </w:r>
            <w:r>
              <w:rPr>
                <w:rFonts w:ascii="仿宋_GB2312" w:hAnsi="仿宋_GB2312" w:cs="仿宋_GB2312" w:eastAsia="仿宋_GB2312"/>
              </w:rPr>
              <w:t xml:space="preserve"> （2）绿色发展政策：《国务院办公厅关于建立政府强制采购节能产品制度的通知》（国办发[2007]51号）；《财政部、国家发展改革委、生态环境部、市场监管总局关于调整优化节能产品、环境标志产品政府采购执行机制的通知》（财库[2019]9号）；《关于扩大政府采购支持绿色建材促进建筑品质提升政策实施范围的通知》（财库〔2022〕35号）；《商品包装政府采购需求标准（试行）》和《快递包装政府采购需求标准（试行）》（财办库[2020]123号）。</w:t>
            </w:r>
            <w:r>
              <w:br/>
            </w:r>
            <w:r>
              <w:rPr>
                <w:rFonts w:ascii="仿宋_GB2312" w:hAnsi="仿宋_GB2312" w:cs="仿宋_GB2312" w:eastAsia="仿宋_GB2312"/>
              </w:rPr>
              <w:t xml:space="preserve"> （3）支持本国产业政策：《关于运用政府采购政策支持乡村产业振兴的通知》（财库〔2021〕19号）；《财政部关于印发&lt;进口产品管理办法&gt;的通知》（财库[2007]119号）；《财政部办公厅关于政府采购进口产品管理有关问题的通知》（财办库[2008]248号）。</w:t>
            </w:r>
            <w:r>
              <w:br/>
            </w:r>
            <w:r>
              <w:rPr>
                <w:rFonts w:ascii="仿宋_GB2312" w:hAnsi="仿宋_GB2312" w:cs="仿宋_GB2312" w:eastAsia="仿宋_GB2312"/>
              </w:rPr>
              <w:t xml:space="preserve"> （4）支持创新等政府采购政策。</w:t>
            </w:r>
            <w:r>
              <w:br/>
            </w:r>
            <w:r>
              <w:rPr>
                <w:rFonts w:ascii="仿宋_GB2312" w:hAnsi="仿宋_GB2312" w:cs="仿宋_GB2312" w:eastAsia="仿宋_GB2312"/>
              </w:rPr>
              <w:t xml:space="preserve"> 3、合同履行期限：365日历天。监理总服务期为自开工之日至工程保修期满之日止，开工日期以委托人下达的书面开工报告为准。（本项目服务期同时应满足上级政府主管部门对项目竣工交付的要求）</w:t>
            </w:r>
            <w:r>
              <w:br/>
            </w:r>
            <w:r>
              <w:rPr>
                <w:rFonts w:ascii="仿宋_GB2312" w:hAnsi="仿宋_GB2312" w:cs="仿宋_GB2312" w:eastAsia="仿宋_GB2312"/>
              </w:rPr>
              <w:t xml:space="preserve"> 4、服务地点：西安高新区</w:t>
            </w:r>
            <w:r>
              <w:br/>
            </w:r>
            <w:r>
              <w:rPr>
                <w:rFonts w:ascii="仿宋_GB2312" w:hAnsi="仿宋_GB2312" w:cs="仿宋_GB2312" w:eastAsia="仿宋_GB2312"/>
              </w:rPr>
              <w:t xml:space="preserve"> 二、需执行的国家相关标准、行业标准、地方标准或者其他标准、规范标准</w:t>
            </w:r>
            <w:r>
              <w:br/>
            </w:r>
            <w:r>
              <w:rPr>
                <w:rFonts w:ascii="仿宋_GB2312" w:hAnsi="仿宋_GB2312" w:cs="仿宋_GB2312" w:eastAsia="仿宋_GB2312"/>
              </w:rPr>
              <w:t xml:space="preserve"> 1、国家有关法律法规。</w:t>
            </w:r>
            <w:r>
              <w:br/>
            </w:r>
            <w:r>
              <w:rPr>
                <w:rFonts w:ascii="仿宋_GB2312" w:hAnsi="仿宋_GB2312" w:cs="仿宋_GB2312" w:eastAsia="仿宋_GB2312"/>
              </w:rPr>
              <w:t xml:space="preserve"> （1）《中华人民共和国建筑法》；</w:t>
            </w:r>
            <w:r>
              <w:br/>
            </w:r>
            <w:r>
              <w:rPr>
                <w:rFonts w:ascii="仿宋_GB2312" w:hAnsi="仿宋_GB2312" w:cs="仿宋_GB2312" w:eastAsia="仿宋_GB2312"/>
              </w:rPr>
              <w:t xml:space="preserve"> （2）《市政道路工程质量检验评定标准》(CJJ1-90)；</w:t>
            </w:r>
            <w:r>
              <w:br/>
            </w:r>
            <w:r>
              <w:rPr>
                <w:rFonts w:ascii="仿宋_GB2312" w:hAnsi="仿宋_GB2312" w:cs="仿宋_GB2312" w:eastAsia="仿宋_GB2312"/>
              </w:rPr>
              <w:t xml:space="preserve"> （4）《市政道路工程施工质量验收规范》{CJJ-2008}</w:t>
            </w:r>
            <w:r>
              <w:br/>
            </w:r>
            <w:r>
              <w:rPr>
                <w:rFonts w:ascii="仿宋_GB2312" w:hAnsi="仿宋_GB2312" w:cs="仿宋_GB2312" w:eastAsia="仿宋_GB2312"/>
              </w:rPr>
              <w:t xml:space="preserve"> （5）《给水排水管道工程施工及验收规范》（GB50268-2008）</w:t>
            </w:r>
            <w:r>
              <w:br/>
            </w:r>
            <w:r>
              <w:rPr>
                <w:rFonts w:ascii="仿宋_GB2312" w:hAnsi="仿宋_GB2312" w:cs="仿宋_GB2312" w:eastAsia="仿宋_GB2312"/>
              </w:rPr>
              <w:t xml:space="preserve"> （6）《城市桥梁工程施工与质量验收规范》（CJJ2-2008）</w:t>
            </w:r>
            <w:r>
              <w:br/>
            </w:r>
            <w:r>
              <w:rPr>
                <w:rFonts w:ascii="仿宋_GB2312" w:hAnsi="仿宋_GB2312" w:cs="仿宋_GB2312" w:eastAsia="仿宋_GB2312"/>
              </w:rPr>
              <w:t xml:space="preserve"> （7）《建筑工程质量管理条例》（国务院279号）；</w:t>
            </w:r>
            <w:r>
              <w:br/>
            </w:r>
            <w:r>
              <w:rPr>
                <w:rFonts w:ascii="仿宋_GB2312" w:hAnsi="仿宋_GB2312" w:cs="仿宋_GB2312" w:eastAsia="仿宋_GB2312"/>
              </w:rPr>
              <w:t xml:space="preserve"> （8）《工程建设监理规定》（建设部【95】737号）；</w:t>
            </w:r>
            <w:r>
              <w:br/>
            </w:r>
            <w:r>
              <w:rPr>
                <w:rFonts w:ascii="仿宋_GB2312" w:hAnsi="仿宋_GB2312" w:cs="仿宋_GB2312" w:eastAsia="仿宋_GB2312"/>
              </w:rPr>
              <w:t xml:space="preserve"> （9）《建设工程安全生产管理条例》（国务院393号）；</w:t>
            </w:r>
            <w:r>
              <w:br/>
            </w:r>
            <w:r>
              <w:rPr>
                <w:rFonts w:ascii="仿宋_GB2312" w:hAnsi="仿宋_GB2312" w:cs="仿宋_GB2312" w:eastAsia="仿宋_GB2312"/>
              </w:rPr>
              <w:t xml:space="preserve"> 2、国家行业和地方工程建设的技术标准、规范</w:t>
            </w:r>
            <w:r>
              <w:br/>
            </w:r>
            <w:r>
              <w:rPr>
                <w:rFonts w:ascii="仿宋_GB2312" w:hAnsi="仿宋_GB2312" w:cs="仿宋_GB2312" w:eastAsia="仿宋_GB2312"/>
              </w:rPr>
              <w:t xml:space="preserve"> （1）《建设工程监理规范》（GB50319-2013）；</w:t>
            </w:r>
            <w:r>
              <w:br/>
            </w:r>
            <w:r>
              <w:rPr>
                <w:rFonts w:ascii="仿宋_GB2312" w:hAnsi="仿宋_GB2312" w:cs="仿宋_GB2312" w:eastAsia="仿宋_GB2312"/>
              </w:rPr>
              <w:t xml:space="preserve"> （2）《建筑装饰装修工程质量验收规范》（GB50210-2001）； </w:t>
            </w:r>
            <w:r>
              <w:br/>
            </w:r>
            <w:r>
              <w:rPr>
                <w:rFonts w:ascii="仿宋_GB2312" w:hAnsi="仿宋_GB2312" w:cs="仿宋_GB2312" w:eastAsia="仿宋_GB2312"/>
              </w:rPr>
              <w:t xml:space="preserve"> （3）《建筑工程施工质量验收统一标准》 GB50300-2013</w:t>
            </w:r>
            <w:r>
              <w:br/>
            </w:r>
            <w:r>
              <w:rPr>
                <w:rFonts w:ascii="仿宋_GB2312" w:hAnsi="仿宋_GB2312" w:cs="仿宋_GB2312" w:eastAsia="仿宋_GB2312"/>
              </w:rPr>
              <w:t xml:space="preserve"> （4）《建筑施工安全检查标准》 JGJ59-2011</w:t>
            </w:r>
            <w:r>
              <w:br/>
            </w:r>
            <w:r>
              <w:rPr>
                <w:rFonts w:ascii="仿宋_GB2312" w:hAnsi="仿宋_GB2312" w:cs="仿宋_GB2312" w:eastAsia="仿宋_GB2312"/>
              </w:rPr>
              <w:t xml:space="preserve"> （5）《建筑内部装修防火施工及验收规范》(GB50354-2005)；</w:t>
            </w:r>
            <w:r>
              <w:br/>
            </w:r>
            <w:r>
              <w:rPr>
                <w:rFonts w:ascii="仿宋_GB2312" w:hAnsi="仿宋_GB2312" w:cs="仿宋_GB2312" w:eastAsia="仿宋_GB2312"/>
              </w:rPr>
              <w:t xml:space="preserve"> （6）《工程测量规范》(GB50026-2007)；</w:t>
            </w:r>
            <w:r>
              <w:br/>
            </w:r>
            <w:r>
              <w:rPr>
                <w:rFonts w:ascii="仿宋_GB2312" w:hAnsi="仿宋_GB2312" w:cs="仿宋_GB2312" w:eastAsia="仿宋_GB2312"/>
              </w:rPr>
              <w:t xml:space="preserve"> （7）《建设工程项目管理规范》（GB/T50326-2017）；</w:t>
            </w:r>
            <w:r>
              <w:br/>
            </w:r>
            <w:r>
              <w:rPr>
                <w:rFonts w:ascii="仿宋_GB2312" w:hAnsi="仿宋_GB2312" w:cs="仿宋_GB2312" w:eastAsia="仿宋_GB2312"/>
              </w:rPr>
              <w:t xml:space="preserve"> （8）《建筑节能工程施工质量验收规范》（GB50411-2007）；</w:t>
            </w:r>
            <w:r>
              <w:br/>
            </w:r>
            <w:r>
              <w:rPr>
                <w:rFonts w:ascii="仿宋_GB2312" w:hAnsi="仿宋_GB2312" w:cs="仿宋_GB2312" w:eastAsia="仿宋_GB2312"/>
              </w:rPr>
              <w:t xml:space="preserve"> （9）《给水排水管道工程施工及验收规范》(GB50268-2008)；</w:t>
            </w:r>
            <w:r>
              <w:br/>
            </w:r>
            <w:r>
              <w:rPr>
                <w:rFonts w:ascii="仿宋_GB2312" w:hAnsi="仿宋_GB2312" w:cs="仿宋_GB2312" w:eastAsia="仿宋_GB2312"/>
              </w:rPr>
              <w:t xml:space="preserve"> （10）《混凝土结构荷载标准》(GB50003-2010)；</w:t>
            </w:r>
            <w:r>
              <w:br/>
            </w:r>
            <w:r>
              <w:rPr>
                <w:rFonts w:ascii="仿宋_GB2312" w:hAnsi="仿宋_GB2312" w:cs="仿宋_GB2312" w:eastAsia="仿宋_GB2312"/>
              </w:rPr>
              <w:t xml:space="preserve"> （11）《建筑结构荷载规范》(GB50009-2012)；</w:t>
            </w:r>
            <w:r>
              <w:br/>
            </w:r>
            <w:r>
              <w:rPr>
                <w:rFonts w:ascii="仿宋_GB2312" w:hAnsi="仿宋_GB2312" w:cs="仿宋_GB2312" w:eastAsia="仿宋_GB2312"/>
              </w:rPr>
              <w:t xml:space="preserve"> （12）《地下工程防水技术规范》(GB50108-2008)；</w:t>
            </w:r>
            <w:r>
              <w:br/>
            </w:r>
            <w:r>
              <w:rPr>
                <w:rFonts w:ascii="仿宋_GB2312" w:hAnsi="仿宋_GB2312" w:cs="仿宋_GB2312" w:eastAsia="仿宋_GB2312"/>
              </w:rPr>
              <w:t xml:space="preserve"> （13）《砌体结构工程施工质量验收规范》（GB50203-2011）</w:t>
            </w:r>
            <w:r>
              <w:br/>
            </w:r>
            <w:r>
              <w:rPr>
                <w:rFonts w:ascii="仿宋_GB2312" w:hAnsi="仿宋_GB2312" w:cs="仿宋_GB2312" w:eastAsia="仿宋_GB2312"/>
              </w:rPr>
              <w:t xml:space="preserve"> 3、质量监督部门下达的有关文件要求；</w:t>
            </w:r>
            <w:r>
              <w:br/>
            </w:r>
            <w:r>
              <w:rPr>
                <w:rFonts w:ascii="仿宋_GB2312" w:hAnsi="仿宋_GB2312" w:cs="仿宋_GB2312" w:eastAsia="仿宋_GB2312"/>
              </w:rPr>
              <w:t xml:space="preserve"> 4、经有关部门批准的工程项目文件和设计图纸、设计以及设计变更；</w:t>
            </w:r>
            <w:r>
              <w:br/>
            </w:r>
            <w:r>
              <w:rPr>
                <w:rFonts w:ascii="仿宋_GB2312" w:hAnsi="仿宋_GB2312" w:cs="仿宋_GB2312" w:eastAsia="仿宋_GB2312"/>
              </w:rPr>
              <w:t xml:space="preserve"> 5、本工程地质勘察资料；</w:t>
            </w:r>
            <w:r>
              <w:br/>
            </w:r>
            <w:r>
              <w:rPr>
                <w:rFonts w:ascii="仿宋_GB2312" w:hAnsi="仿宋_GB2312" w:cs="仿宋_GB2312" w:eastAsia="仿宋_GB2312"/>
              </w:rPr>
              <w:t xml:space="preserve"> 6、本工程建设监理合同；</w:t>
            </w:r>
            <w:r>
              <w:br/>
            </w:r>
            <w:r>
              <w:rPr>
                <w:rFonts w:ascii="仿宋_GB2312" w:hAnsi="仿宋_GB2312" w:cs="仿宋_GB2312" w:eastAsia="仿宋_GB2312"/>
              </w:rPr>
              <w:t xml:space="preserve"> 7、本工程建设工程施工合同；</w:t>
            </w:r>
            <w:r>
              <w:br/>
            </w:r>
            <w:r>
              <w:rPr>
                <w:rFonts w:ascii="仿宋_GB2312" w:hAnsi="仿宋_GB2312" w:cs="仿宋_GB2312" w:eastAsia="仿宋_GB2312"/>
              </w:rPr>
              <w:t xml:space="preserve"> 8、本项目监理人编制的监理规划。</w:t>
            </w:r>
            <w:r>
              <w:br/>
            </w:r>
            <w:r>
              <w:rPr>
                <w:rFonts w:ascii="仿宋_GB2312" w:hAnsi="仿宋_GB2312" w:cs="仿宋_GB2312" w:eastAsia="仿宋_GB2312"/>
              </w:rPr>
              <w:t xml:space="preserve"> 备注：凡涉及的相关规范，国家有最新标准的以最新标准为准。</w:t>
            </w:r>
            <w:r>
              <w:br/>
            </w:r>
            <w:r>
              <w:rPr>
                <w:rFonts w:ascii="仿宋_GB2312" w:hAnsi="仿宋_GB2312" w:cs="仿宋_GB2312" w:eastAsia="仿宋_GB2312"/>
              </w:rPr>
              <w:t xml:space="preserve"> 三、工程指标的具体要求：</w:t>
            </w:r>
            <w:r>
              <w:br/>
            </w:r>
            <w:r>
              <w:rPr>
                <w:rFonts w:ascii="仿宋_GB2312" w:hAnsi="仿宋_GB2312" w:cs="仿宋_GB2312" w:eastAsia="仿宋_GB2312"/>
              </w:rPr>
              <w:t xml:space="preserve"> 监理工作过程中严格执行国家、省市的各项法律、法规及规章制度。</w:t>
            </w:r>
            <w:r>
              <w:br/>
            </w:r>
            <w:r>
              <w:rPr>
                <w:rFonts w:ascii="仿宋_GB2312" w:hAnsi="仿宋_GB2312" w:cs="仿宋_GB2312" w:eastAsia="仿宋_GB2312"/>
              </w:rPr>
              <w:t xml:space="preserve"> 四、拟投入本项目的预算</w:t>
            </w:r>
            <w:r>
              <w:br/>
            </w:r>
            <w:r>
              <w:rPr>
                <w:rFonts w:ascii="仿宋_GB2312" w:hAnsi="仿宋_GB2312" w:cs="仿宋_GB2312" w:eastAsia="仿宋_GB2312"/>
              </w:rPr>
              <w:t xml:space="preserve"> 本项目采购预算：332200.00元。</w:t>
            </w:r>
            <w:r>
              <w:br/>
            </w:r>
            <w:r>
              <w:rPr>
                <w:rFonts w:ascii="仿宋_GB2312" w:hAnsi="仿宋_GB2312" w:cs="仿宋_GB2312" w:eastAsia="仿宋_GB2312"/>
              </w:rPr>
              <w:t xml:space="preserve"> 五、项目期限、效率要求</w:t>
            </w:r>
            <w:r>
              <w:br/>
            </w:r>
            <w:r>
              <w:rPr>
                <w:rFonts w:ascii="仿宋_GB2312" w:hAnsi="仿宋_GB2312" w:cs="仿宋_GB2312" w:eastAsia="仿宋_GB2312"/>
              </w:rPr>
              <w:t xml:space="preserve"> 合同履行期限：365日历天。监理总服务期为自开工之日至工程保修期满之日止，开工日期以委托人下达的书面开工报告为准。（本项目服务期同时应满足上级政府主管部门对项目竣工交付的要求）</w:t>
            </w:r>
            <w:r>
              <w:br/>
            </w:r>
            <w:r>
              <w:rPr>
                <w:rFonts w:ascii="仿宋_GB2312" w:hAnsi="仿宋_GB2312" w:cs="仿宋_GB2312" w:eastAsia="仿宋_GB2312"/>
              </w:rPr>
              <w:t xml:space="preserve"> 效率：按时保质保量完成采购合同规定的全部内容。</w:t>
            </w:r>
            <w:r>
              <w:br/>
            </w:r>
            <w:r>
              <w:rPr>
                <w:rFonts w:ascii="仿宋_GB2312" w:hAnsi="仿宋_GB2312" w:cs="仿宋_GB2312" w:eastAsia="仿宋_GB2312"/>
              </w:rPr>
              <w:t xml:space="preserve"> 六、付款方式</w:t>
            </w:r>
            <w:r>
              <w:br/>
            </w:r>
            <w:r>
              <w:rPr>
                <w:rFonts w:ascii="仿宋_GB2312" w:hAnsi="仿宋_GB2312" w:cs="仿宋_GB2312" w:eastAsia="仿宋_GB2312"/>
              </w:rPr>
              <w:t xml:space="preserve"> （1）监理人在每季度第一个月的10号前依照委托人的相关规定报送上季度监理付款申请表，季度进度付款金额为：每季度经委托人审核确认的建设工程施工进度产值×监理服务费费率×80％，委托人在收到该申请后14天内核对完毕。委托人按照支付程序办理向监理人支付进度款事项。建设工程施工进度产值达到80%时停止支付监理费用。</w:t>
            </w:r>
            <w:r>
              <w:br/>
            </w:r>
            <w:r>
              <w:rPr>
                <w:rFonts w:ascii="仿宋_GB2312" w:hAnsi="仿宋_GB2312" w:cs="仿宋_GB2312" w:eastAsia="仿宋_GB2312"/>
              </w:rPr>
              <w:t xml:space="preserve"> （2）全部监理工作完成（包括监理资料移交）后，以管委会审核确定的工程结算造价乘以成交费率计算全部监理费用，审计确定的监理费扣除已支付的监理费为剩余监理费用，监理人按照要求办理完所有手续后完成监理费结算并办理支付。</w:t>
            </w:r>
            <w:r>
              <w:br/>
            </w:r>
            <w:r>
              <w:rPr>
                <w:rFonts w:ascii="仿宋_GB2312" w:hAnsi="仿宋_GB2312" w:cs="仿宋_GB2312" w:eastAsia="仿宋_GB2312"/>
              </w:rPr>
              <w:t xml:space="preserve"> （3）每次支付前，监理人应提供符合发包人要求的等额增值税普通发票，否则委托人有权拒绝付款并不承担任何责任。</w:t>
            </w:r>
            <w:r>
              <w:br/>
            </w:r>
            <w:r>
              <w:rPr>
                <w:rFonts w:ascii="仿宋_GB2312" w:hAnsi="仿宋_GB2312" w:cs="仿宋_GB2312" w:eastAsia="仿宋_GB2312"/>
              </w:rPr>
              <w:t xml:space="preserve"> （4）如本项目延期，其中因项目暂停导致的延期，暂停时间不计监理费。</w:t>
            </w:r>
            <w:r>
              <w:br/>
            </w:r>
            <w:r>
              <w:rPr>
                <w:rFonts w:ascii="仿宋_GB2312" w:hAnsi="仿宋_GB2312" w:cs="仿宋_GB2312" w:eastAsia="仿宋_GB2312"/>
              </w:rPr>
              <w:t xml:space="preserve"> （5）在工程款支付时，发包人可以选用支票、电汇、网上银行转账、银行承兑汇票、商业承兑汇票、信用证、应收账款保理、实物资产抵偿等方式支付。发包人可以选择以上任何一种方式支付工程款。</w:t>
            </w:r>
            <w:r>
              <w:br/>
            </w:r>
            <w:r>
              <w:rPr>
                <w:rFonts w:ascii="仿宋_GB2312" w:hAnsi="仿宋_GB2312" w:cs="仿宋_GB2312" w:eastAsia="仿宋_GB2312"/>
              </w:rPr>
              <w:t xml:space="preserve"> 七、验收标准</w:t>
            </w:r>
            <w:r>
              <w:br/>
            </w:r>
            <w:r>
              <w:rPr>
                <w:rFonts w:ascii="仿宋_GB2312" w:hAnsi="仿宋_GB2312" w:cs="仿宋_GB2312" w:eastAsia="仿宋_GB2312"/>
              </w:rPr>
              <w:t xml:space="preserve"> 1、供应商提出验收申请，采购人及时组织验收，验收合格后出具验收报告。</w:t>
            </w:r>
            <w:r>
              <w:br/>
            </w:r>
            <w:r>
              <w:rPr>
                <w:rFonts w:ascii="仿宋_GB2312" w:hAnsi="仿宋_GB2312" w:cs="仿宋_GB2312" w:eastAsia="仿宋_GB2312"/>
              </w:rPr>
              <w:t xml:space="preserve"> 2、本项目应按要求完成服务全部内容。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供应商须在人员方面具备履行合同所必需的专业技术能力。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供应商须在人员方面具备履行合同所必需的专业技术能力。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供应商须在人员方面具备履行合同所必需的专业技术能力。</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365日历天。监理总服务期为自开工之日至工程保修期满之日止，开工日期以委托人下达的书面开工报告为准。（本项目服务期同时应满足上级政府主管部门对项目竣工交付的要求）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1、供应商提出验收申请，采购人及时组织验收，验收合格后出具验收报告。 2、本项目应按要求完成服务全部内容。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监理人在每季度第一个月的10号前依照委托人的相关规定报送上季度监理付款申请表，季度进度付款金额为：每季度经委托人审核确认的建设工程施工进度产值×监理服务费费率×80％，委托人在收到该申请后14天内核对完毕。委托人按照支付程序办理向监理人支付进度款事项。建设工程施工进度产值达到80%时停止支付监理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监理工作完成（包括监理资料移交）后，以管委会审核确定的工程结算造价乘以成交费率计算全部监理费用，审计确定的监理费扣除已支付的监理费为剩余监理费用，监理人按照要求办理完所有手续后完成监理费结算并办理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因本合同产生纠纷，如协商无法解决，双方均有权向甲方所在地人民法院提起诉讼。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线下提交响应文件正本一套、副本三套、电子版(光盘一份，U盘一份）二份。纸质响应文件应与电子响应文件保持一致。 2.本项目监理费总价限价为332200.00元，本项目建筑安装工程费暂定为22604100.00元。 供应商根据工程监理服务范围、市场价相关信息以及企业自身情况，自主报价，并折算成费率。监理费折算费率=监理费报价总价/建筑安装工程费。 3.《工业和信息化部、国家统计局、国家发展和改革委员会、财政部关于印发中小企业划型标准规定的通知》（工信部联企业[2011]300 号）中，（十六）其他未列明行业。从业人员300人以下的为中小微型企业。其中，从业人员100人及以上的为中型企业；从业人员10人及以上的为小型企业；从业人员10人以下的为微型企业。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及该人员在本单位缴纳社保记录证明(近3个月)；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供应商具备工程监理综合资质或市政公用工程专业监理乙级及以上资质。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拟派总监理工程师</w:t>
            </w:r>
          </w:p>
        </w:tc>
        <w:tc>
          <w:tcPr>
            <w:tcW w:type="dxa" w:w="3322"/>
          </w:tcPr>
          <w:p>
            <w:pPr>
              <w:pStyle w:val="null3"/>
            </w:pPr>
            <w:r>
              <w:rPr>
                <w:rFonts w:ascii="仿宋_GB2312" w:hAnsi="仿宋_GB2312" w:cs="仿宋_GB2312" w:eastAsia="仿宋_GB2312"/>
              </w:rPr>
              <w:t>拟派项目总监理工程师须具备注册监理工程师执业资格（市政公用工程专业），在本单位注册，且未担任其他在建工程项目的总监理工程师。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首次磋商报价表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2、报价货币符合磋商文件要求；3、未超出采购预算及磋商文件规定的最高限价。</w:t>
            </w:r>
          </w:p>
        </w:tc>
        <w:tc>
          <w:tcPr>
            <w:tcW w:type="dxa" w:w="1661"/>
          </w:tcPr>
          <w:p>
            <w:pPr>
              <w:pStyle w:val="null3"/>
            </w:pPr>
            <w:r>
              <w:rPr>
                <w:rFonts w:ascii="仿宋_GB2312" w:hAnsi="仿宋_GB2312" w:cs="仿宋_GB2312" w:eastAsia="仿宋_GB2312"/>
              </w:rPr>
              <w:t>标的清单 报价表 首次磋商报价表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与所投项目名称、项目编号一致，且符合磋商文件签署盖章要求。</w:t>
            </w:r>
          </w:p>
        </w:tc>
        <w:tc>
          <w:tcPr>
            <w:tcW w:type="dxa" w:w="1661"/>
          </w:tcPr>
          <w:p>
            <w:pPr>
              <w:pStyle w:val="null3"/>
            </w:pPr>
            <w:r>
              <w:rPr>
                <w:rFonts w:ascii="仿宋_GB2312" w:hAnsi="仿宋_GB2312" w:cs="仿宋_GB2312" w:eastAsia="仿宋_GB2312"/>
              </w:rPr>
              <w:t>合同条款偏离表 封皮 中小企业声明函 其他承诺 供应商应提交的相关资格证明材料 技术、服务及其他商务要求应答表 报价表 首次磋商报价表 业绩的相关证明材料 技术方案响应说明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根据质量控制管理措施完整且切实可行，描述清晰，且能针对性满足本项目得5分；管理措施内容较完整，描述一般，可操作性一般，基本能够满足本项目得（4，3］分；管理措施内容较简单，描述简单，可操作性较差得（2，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安全文明施工监督管理措施</w:t>
            </w:r>
          </w:p>
        </w:tc>
        <w:tc>
          <w:tcPr>
            <w:tcW w:type="dxa" w:w="2492"/>
          </w:tcPr>
          <w:p>
            <w:pPr>
              <w:pStyle w:val="null3"/>
            </w:pPr>
            <w:r>
              <w:rPr>
                <w:rFonts w:ascii="仿宋_GB2312" w:hAnsi="仿宋_GB2312" w:cs="仿宋_GB2312" w:eastAsia="仿宋_GB2312"/>
              </w:rPr>
              <w:t>充分了解本项目采购需求及安全文明施工相关政策要求，监督管理措施健全、合理、完善、详尽，完全满足项目的要求且可行性强的得5分；对本项目采购需求及安全文明施工相关政策要求了解较为充分，监督管理措施内容较为完整，描述简单得（4，3］分；对本项目采购需求及安全文明施工相关政策要求不够了解，维护方案内容较差，描述不清晰得（2，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进度控制管理措施</w:t>
            </w:r>
          </w:p>
        </w:tc>
        <w:tc>
          <w:tcPr>
            <w:tcW w:type="dxa" w:w="2492"/>
          </w:tcPr>
          <w:p>
            <w:pPr>
              <w:pStyle w:val="null3"/>
            </w:pPr>
            <w:r>
              <w:rPr>
                <w:rFonts w:ascii="仿宋_GB2312" w:hAnsi="仿宋_GB2312" w:cs="仿宋_GB2312" w:eastAsia="仿宋_GB2312"/>
              </w:rPr>
              <w:t>进度控制管理措施合理、完善、详尽，完全满足项目的要求且可行性强的得5分；进度控制管理措施基本合理满足项目的要求且有一定可行性的得（4，3］分；进度控制管理措施基本合理满足项目的要求且但可行性较差的得（2，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投资控制管理措施</w:t>
            </w:r>
          </w:p>
        </w:tc>
        <w:tc>
          <w:tcPr>
            <w:tcW w:type="dxa" w:w="2492"/>
          </w:tcPr>
          <w:p>
            <w:pPr>
              <w:pStyle w:val="null3"/>
            </w:pPr>
            <w:r>
              <w:rPr>
                <w:rFonts w:ascii="仿宋_GB2312" w:hAnsi="仿宋_GB2312" w:cs="仿宋_GB2312" w:eastAsia="仿宋_GB2312"/>
              </w:rPr>
              <w:t>根据投资控制管理措施内容完整，描述清晰，且能针对性满足项目得5分；投资控制管理措施内容较完整，描述简单，可行性一般，基本满足项目得（4，3］分；投资控制管理措施内容笼统，描述简单，可行性不强得（2，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监理工作管理制度</w:t>
            </w:r>
          </w:p>
        </w:tc>
        <w:tc>
          <w:tcPr>
            <w:tcW w:type="dxa" w:w="2492"/>
          </w:tcPr>
          <w:p>
            <w:pPr>
              <w:pStyle w:val="null3"/>
            </w:pPr>
            <w:r>
              <w:rPr>
                <w:rFonts w:ascii="仿宋_GB2312" w:hAnsi="仿宋_GB2312" w:cs="仿宋_GB2312" w:eastAsia="仿宋_GB2312"/>
              </w:rPr>
              <w:t>有健全可行且完整的监理工作管理制度，描述清晰，满足项目需求得5分；管理制度较完整，描述简单，基本满足项目得（4，3］分；管理制度内容笼统，描述模糊得（2，1］分；未提供不得分。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合同方面协调管理措施</w:t>
            </w:r>
          </w:p>
        </w:tc>
        <w:tc>
          <w:tcPr>
            <w:tcW w:type="dxa" w:w="2492"/>
          </w:tcPr>
          <w:p>
            <w:pPr>
              <w:pStyle w:val="null3"/>
            </w:pPr>
            <w:r>
              <w:rPr>
                <w:rFonts w:ascii="仿宋_GB2312" w:hAnsi="仿宋_GB2312" w:cs="仿宋_GB2312" w:eastAsia="仿宋_GB2312"/>
              </w:rPr>
              <w:t>合同方面协调管理措施合理、完善、详尽，完全满足项目的要求且可行性强的得5分；合同方面协调管理措施基本合理满足项目的要求且有一定可行性的得（4，3］分；合同方面协调管理措施基本合理满足项目的要求且但可行性较差的得（2，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信息方面协调管理措施</w:t>
            </w:r>
          </w:p>
        </w:tc>
        <w:tc>
          <w:tcPr>
            <w:tcW w:type="dxa" w:w="2492"/>
          </w:tcPr>
          <w:p>
            <w:pPr>
              <w:pStyle w:val="null3"/>
            </w:pPr>
            <w:r>
              <w:rPr>
                <w:rFonts w:ascii="仿宋_GB2312" w:hAnsi="仿宋_GB2312" w:cs="仿宋_GB2312" w:eastAsia="仿宋_GB2312"/>
              </w:rPr>
              <w:t>根据措施内容完整，描述清晰，且能针对性满足项目得5分；措施内容较完整，描述简单，有一定可行性得（4，3］分；措施内容笼统，描述模糊，可行性不强得（2，1］分；未提供不得分。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保修阶段的服务管理措施</w:t>
            </w:r>
          </w:p>
        </w:tc>
        <w:tc>
          <w:tcPr>
            <w:tcW w:type="dxa" w:w="2492"/>
          </w:tcPr>
          <w:p>
            <w:pPr>
              <w:pStyle w:val="null3"/>
            </w:pPr>
            <w:r>
              <w:rPr>
                <w:rFonts w:ascii="仿宋_GB2312" w:hAnsi="仿宋_GB2312" w:cs="仿宋_GB2312" w:eastAsia="仿宋_GB2312"/>
              </w:rPr>
              <w:t>能够保证在出现紧急情况或故障时第一时间响应且做出应对，措施完整可靠得5分；在出现紧急情况或故障时积极响应，保障措施内容较完整可行得（4，3］分；在出现紧急情况或故障时响应性较差，保障措施不够充分得（2，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重点项目、关键部位及关键环节、工序的检测控制方案</w:t>
            </w:r>
          </w:p>
        </w:tc>
        <w:tc>
          <w:tcPr>
            <w:tcW w:type="dxa" w:w="2492"/>
          </w:tcPr>
          <w:p>
            <w:pPr>
              <w:pStyle w:val="null3"/>
            </w:pPr>
            <w:r>
              <w:rPr>
                <w:rFonts w:ascii="仿宋_GB2312" w:hAnsi="仿宋_GB2312" w:cs="仿宋_GB2312" w:eastAsia="仿宋_GB2312"/>
              </w:rPr>
              <w:t>根据方案内容完整，描述清晰，且能针对性满足本项目得5分；方案内容较完整，描述简单，可行性一般，基本满足本项目得（4，3］分；方案内容笼统，描述简单，可行性不强得（2，1］分；未提供不得分。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监理现场设施配备</w:t>
            </w:r>
          </w:p>
        </w:tc>
        <w:tc>
          <w:tcPr>
            <w:tcW w:type="dxa" w:w="2492"/>
          </w:tcPr>
          <w:p>
            <w:pPr>
              <w:pStyle w:val="null3"/>
            </w:pPr>
            <w:r>
              <w:rPr>
                <w:rFonts w:ascii="仿宋_GB2312" w:hAnsi="仿宋_GB2312" w:cs="仿宋_GB2312" w:eastAsia="仿宋_GB2312"/>
              </w:rPr>
              <w:t>配备情况及物品完整能充分满足本项目需求得5分；配备情况及物品一般，基本能满足本项目需求得（4，3］分；配备情况不够充足，达不到本项目需求得（2，1］分；未提供不得分。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拟派项目总监</w:t>
            </w:r>
          </w:p>
        </w:tc>
        <w:tc>
          <w:tcPr>
            <w:tcW w:type="dxa" w:w="2492"/>
          </w:tcPr>
          <w:p>
            <w:pPr>
              <w:pStyle w:val="null3"/>
            </w:pPr>
            <w:r>
              <w:rPr>
                <w:rFonts w:ascii="仿宋_GB2312" w:hAnsi="仿宋_GB2312" w:cs="仿宋_GB2312" w:eastAsia="仿宋_GB2312"/>
              </w:rPr>
              <w:t>1.拟派项目总监具有中级及以上职称者得3分，其他不得分。 2拟派项目总监具有本科及以上学历得3分，专科学历得1分，其他不得分。 2.拟派项目总监近五年（2020年1月1日至今，以合同签订时间或中标通知书时间为准）具有一个类似项目业绩得4分，最高得4分（以合同或中标通知书或其他有效证明材料中能体现项目总监姓名的为准，单位不限）。</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现场监理人员配备</w:t>
            </w:r>
          </w:p>
        </w:tc>
        <w:tc>
          <w:tcPr>
            <w:tcW w:type="dxa" w:w="2492"/>
          </w:tcPr>
          <w:p>
            <w:pPr>
              <w:pStyle w:val="null3"/>
            </w:pPr>
            <w:r>
              <w:rPr>
                <w:rFonts w:ascii="仿宋_GB2312" w:hAnsi="仿宋_GB2312" w:cs="仿宋_GB2312" w:eastAsia="仿宋_GB2312"/>
              </w:rPr>
              <w:t>项目组人员配备：总监理工程师1人、市政或给排水类专业监理工程师2人、造价员1人，监理员1人，以上为本项目项目组人员配备基本要求，满足基本要求得6分，每多配备1人加1分，满分8分；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技术方案响应说明</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提供2020年1月至今（以合同签订时间为准）类似项目业绩，每份业绩计4分，满分12分。 注：响应文件中提供合同或合同关键页复印件并加盖公章。</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磋商报价最低的供应商的价格为磋商基准价，其价格分为满分。其他供应商的价格分统一按照下列公式计算：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首次磋商报价表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详见附件：封皮</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详见附件：首次磋商报价表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详见附件：技术、服务及其他商务要求应答表</w:t>
      </w:r>
    </w:p>
    <w:p>
      <w:pPr>
        <w:pStyle w:val="null3"/>
        <w:ind w:firstLine="960"/>
      </w:pPr>
      <w:r>
        <w:rPr>
          <w:rFonts w:ascii="仿宋_GB2312" w:hAnsi="仿宋_GB2312" w:cs="仿宋_GB2312" w:eastAsia="仿宋_GB2312"/>
        </w:rPr>
        <w:t>详见附件：技术方案响应说明</w:t>
      </w:r>
    </w:p>
    <w:p>
      <w:pPr>
        <w:pStyle w:val="null3"/>
        <w:ind w:firstLine="960"/>
      </w:pPr>
      <w:r>
        <w:rPr>
          <w:rFonts w:ascii="仿宋_GB2312" w:hAnsi="仿宋_GB2312" w:cs="仿宋_GB2312" w:eastAsia="仿宋_GB2312"/>
        </w:rPr>
        <w:t>详见附件：业绩的相关证明材料</w:t>
      </w:r>
    </w:p>
    <w:p>
      <w:pPr>
        <w:pStyle w:val="null3"/>
        <w:ind w:firstLine="960"/>
      </w:pPr>
      <w:r>
        <w:rPr>
          <w:rFonts w:ascii="仿宋_GB2312" w:hAnsi="仿宋_GB2312" w:cs="仿宋_GB2312" w:eastAsia="仿宋_GB2312"/>
        </w:rPr>
        <w:t>详见附件：其他承诺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