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A52FEA">
      <w:pPr>
        <w:pageBreakBefore/>
        <w:widowControl/>
        <w:spacing w:after="312" w:afterLines="100" w:line="400" w:lineRule="atLeast"/>
        <w:ind w:firstLine="660" w:firstLineChars="150"/>
        <w:jc w:val="center"/>
        <w:rPr>
          <w:rFonts w:ascii="黑体" w:hAnsi="宋体" w:eastAsia="黑体"/>
          <w:sz w:val="44"/>
          <w:szCs w:val="44"/>
        </w:rPr>
      </w:pPr>
      <w:r>
        <w:rPr>
          <w:rFonts w:hint="eastAsia" w:ascii="黑体" w:hAnsi="宋体" w:eastAsia="黑体"/>
          <w:sz w:val="44"/>
          <w:szCs w:val="44"/>
        </w:rPr>
        <w:t>政府采购合同</w:t>
      </w:r>
    </w:p>
    <w:p w14:paraId="1495E87F">
      <w:pPr>
        <w:pStyle w:val="25"/>
        <w:spacing w:line="360" w:lineRule="auto"/>
        <w:ind w:firstLine="420"/>
        <w:rPr>
          <w:rFonts w:hint="eastAsia" w:ascii="宋体" w:hAnsi="宋体" w:eastAsia="宋体" w:cs="宋体"/>
          <w:sz w:val="21"/>
          <w:szCs w:val="21"/>
        </w:rPr>
      </w:pPr>
      <w:r>
        <w:rPr>
          <w:rFonts w:hint="eastAsia" w:ascii="宋体" w:hAnsi="宋体" w:eastAsia="宋体" w:cs="宋体"/>
          <w:sz w:val="21"/>
          <w:szCs w:val="21"/>
        </w:rPr>
        <w:t xml:space="preserve">合同编号： </w:t>
      </w:r>
    </w:p>
    <w:p w14:paraId="639F6D08">
      <w:pPr>
        <w:pStyle w:val="25"/>
        <w:spacing w:line="360" w:lineRule="auto"/>
        <w:ind w:firstLine="420"/>
        <w:rPr>
          <w:rFonts w:hint="eastAsia" w:ascii="宋体" w:hAnsi="宋体" w:eastAsia="宋体" w:cs="宋体"/>
          <w:sz w:val="18"/>
          <w:szCs w:val="18"/>
        </w:rPr>
      </w:pPr>
      <w:r>
        <w:rPr>
          <w:rFonts w:hint="eastAsia" w:ascii="宋体" w:hAnsi="宋体" w:eastAsia="宋体" w:cs="宋体"/>
          <w:sz w:val="21"/>
          <w:szCs w:val="21"/>
        </w:rPr>
        <w:t>签订地点：西安市雁塔区鱼化寨街道办事处</w:t>
      </w:r>
    </w:p>
    <w:p w14:paraId="53F8CCB9">
      <w:pPr>
        <w:pStyle w:val="25"/>
        <w:spacing w:line="360" w:lineRule="auto"/>
        <w:ind w:firstLine="420"/>
        <w:rPr>
          <w:rFonts w:hint="eastAsia" w:ascii="宋体" w:hAnsi="宋体" w:eastAsia="宋体" w:cs="宋体"/>
          <w:sz w:val="21"/>
          <w:szCs w:val="21"/>
        </w:rPr>
      </w:pPr>
      <w:r>
        <w:rPr>
          <w:rFonts w:hint="eastAsia" w:ascii="宋体" w:hAnsi="宋体" w:eastAsia="宋体" w:cs="宋体"/>
          <w:sz w:val="21"/>
          <w:szCs w:val="21"/>
        </w:rPr>
        <w:t>签订时间:</w:t>
      </w:r>
      <w:r>
        <w:rPr>
          <w:rFonts w:hint="eastAsia" w:ascii="宋体" w:hAnsi="宋体" w:eastAsia="宋体" w:cs="宋体"/>
          <w:sz w:val="21"/>
          <w:szCs w:val="21"/>
          <w:lang w:val="en-US" w:eastAsia="zh-CN"/>
        </w:rPr>
        <w:t xml:space="preserve"> </w:t>
      </w:r>
      <w:r>
        <w:rPr>
          <w:rFonts w:hint="eastAsia" w:ascii="宋体" w:hAnsi="宋体" w:eastAsia="宋体" w:cs="宋体"/>
          <w:color w:val="auto"/>
          <w:sz w:val="21"/>
          <w:szCs w:val="21"/>
          <w:lang w:val="en-US" w:eastAsia="zh-CN"/>
        </w:rPr>
        <w:t>202  年  月  日</w:t>
      </w:r>
    </w:p>
    <w:p w14:paraId="66F32D6B">
      <w:pPr>
        <w:pStyle w:val="25"/>
        <w:spacing w:line="360" w:lineRule="auto"/>
        <w:ind w:firstLine="420"/>
        <w:rPr>
          <w:rFonts w:hint="eastAsia" w:ascii="宋体" w:hAnsi="宋体" w:eastAsia="宋体" w:cs="宋体"/>
          <w:sz w:val="21"/>
          <w:szCs w:val="21"/>
        </w:rPr>
      </w:pPr>
      <w:r>
        <w:rPr>
          <w:rFonts w:hint="eastAsia" w:ascii="宋体" w:hAnsi="宋体" w:eastAsia="宋体" w:cs="宋体"/>
          <w:sz w:val="21"/>
          <w:szCs w:val="21"/>
        </w:rPr>
        <w:t>本合同为中小企业预留份额合同</w:t>
      </w:r>
    </w:p>
    <w:p w14:paraId="2DDCF9BB">
      <w:pPr>
        <w:pStyle w:val="25"/>
        <w:spacing w:line="360" w:lineRule="auto"/>
        <w:ind w:firstLine="420"/>
        <w:rPr>
          <w:rFonts w:hint="eastAsia" w:ascii="宋体" w:hAnsi="宋体" w:eastAsia="宋体" w:cs="宋体"/>
          <w:sz w:val="18"/>
          <w:szCs w:val="18"/>
        </w:rPr>
      </w:pPr>
      <w:r>
        <w:rPr>
          <w:rFonts w:hint="eastAsia" w:ascii="宋体" w:hAnsi="宋体" w:eastAsia="宋体" w:cs="宋体"/>
          <w:sz w:val="21"/>
          <w:szCs w:val="21"/>
        </w:rPr>
        <w:t>采购人（甲方）：鱼化寨街道办事处</w:t>
      </w:r>
    </w:p>
    <w:p w14:paraId="58C48308">
      <w:pPr>
        <w:pStyle w:val="25"/>
        <w:spacing w:line="360" w:lineRule="auto"/>
        <w:ind w:firstLine="0" w:firstLineChars="0"/>
        <w:rPr>
          <w:rFonts w:hint="eastAsia" w:ascii="宋体" w:hAnsi="宋体" w:eastAsia="宋体" w:cs="宋体"/>
          <w:sz w:val="21"/>
          <w:szCs w:val="21"/>
        </w:rPr>
      </w:pPr>
    </w:p>
    <w:p w14:paraId="4D49EBE6">
      <w:pPr>
        <w:pStyle w:val="25"/>
        <w:spacing w:line="360" w:lineRule="auto"/>
        <w:ind w:firstLine="420"/>
        <w:rPr>
          <w:rFonts w:hint="eastAsia" w:ascii="宋体" w:hAnsi="宋体" w:eastAsia="宋体" w:cs="宋体"/>
          <w:sz w:val="21"/>
          <w:szCs w:val="21"/>
        </w:rPr>
      </w:pPr>
      <w:r>
        <w:rPr>
          <w:rFonts w:hint="eastAsia" w:ascii="宋体" w:hAnsi="宋体" w:eastAsia="宋体" w:cs="宋体"/>
          <w:sz w:val="21"/>
          <w:szCs w:val="21"/>
        </w:rPr>
        <w:t>供应商（乙方）：</w:t>
      </w:r>
    </w:p>
    <w:p w14:paraId="0B42F5BB">
      <w:pPr>
        <w:pStyle w:val="25"/>
        <w:ind w:firstLine="562"/>
        <w:rPr>
          <w:rFonts w:hint="eastAsia" w:ascii="宋体" w:hAnsi="宋体" w:eastAsia="宋体" w:cs="宋体"/>
          <w:b/>
          <w:sz w:val="28"/>
          <w:szCs w:val="28"/>
        </w:rPr>
      </w:pPr>
    </w:p>
    <w:p w14:paraId="366971C7">
      <w:pPr>
        <w:pStyle w:val="25"/>
        <w:spacing w:before="156" w:beforeLines="50" w:line="360" w:lineRule="auto"/>
        <w:ind w:left="-420" w:leftChars="-200" w:firstLine="840" w:firstLineChars="400"/>
        <w:rPr>
          <w:rFonts w:hint="eastAsia" w:ascii="宋体" w:hAnsi="宋体" w:eastAsia="宋体" w:cs="宋体"/>
          <w:sz w:val="21"/>
          <w:szCs w:val="21"/>
        </w:rPr>
      </w:pPr>
      <w:r>
        <w:rPr>
          <w:rFonts w:hint="eastAsia" w:ascii="宋体" w:hAnsi="宋体" w:eastAsia="宋体" w:cs="宋体"/>
          <w:sz w:val="21"/>
          <w:szCs w:val="21"/>
        </w:rPr>
        <w:t>根据《中华人民共和国政府采购法》及实施条例、《中华人民共和国民法典》和甲方</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采购项目（采购项目编号：ZDXXXX-XXXZ）的磋商文件、响应文件等有关规定，为确保甲方采购项目的顺利实施，甲、乙双方在平等自愿原则下签订本合同，并共同遵守如下条款：</w:t>
      </w:r>
    </w:p>
    <w:p w14:paraId="176D19FF">
      <w:pPr>
        <w:pStyle w:val="25"/>
        <w:spacing w:before="156" w:beforeLines="50" w:line="360" w:lineRule="auto"/>
        <w:ind w:firstLine="452" w:firstLineChars="150"/>
        <w:rPr>
          <w:rFonts w:hint="eastAsia" w:ascii="宋体" w:hAnsi="宋体" w:eastAsia="宋体" w:cs="宋体"/>
          <w:b/>
          <w:sz w:val="30"/>
          <w:szCs w:val="30"/>
        </w:rPr>
      </w:pPr>
      <w:r>
        <w:rPr>
          <w:rFonts w:hint="eastAsia" w:ascii="宋体" w:hAnsi="宋体" w:eastAsia="宋体" w:cs="宋体"/>
          <w:b/>
          <w:sz w:val="30"/>
          <w:szCs w:val="30"/>
        </w:rPr>
        <w:t>第一条 合同标的</w:t>
      </w:r>
    </w:p>
    <w:tbl>
      <w:tblPr>
        <w:tblStyle w:val="17"/>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75"/>
        <w:gridCol w:w="1587"/>
        <w:gridCol w:w="1936"/>
        <w:gridCol w:w="1936"/>
        <w:gridCol w:w="1936"/>
      </w:tblGrid>
      <w:tr w14:paraId="653727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trPr>
        <w:tc>
          <w:tcPr>
            <w:tcW w:w="1176" w:type="pct"/>
            <w:vAlign w:val="center"/>
          </w:tcPr>
          <w:p w14:paraId="4ABD0EDE">
            <w:pPr>
              <w:pStyle w:val="2"/>
              <w:jc w:val="center"/>
              <w:rPr>
                <w:rFonts w:hint="eastAsia" w:ascii="宋体" w:hAnsi="宋体" w:eastAsia="宋体" w:cs="宋体"/>
                <w:szCs w:val="21"/>
              </w:rPr>
            </w:pPr>
            <w:r>
              <w:rPr>
                <w:rFonts w:hint="eastAsia" w:ascii="宋体" w:hAnsi="宋体" w:eastAsia="宋体" w:cs="宋体"/>
                <w:szCs w:val="21"/>
              </w:rPr>
              <w:t>项目</w:t>
            </w:r>
          </w:p>
        </w:tc>
        <w:tc>
          <w:tcPr>
            <w:tcW w:w="820" w:type="pct"/>
            <w:vAlign w:val="center"/>
          </w:tcPr>
          <w:p w14:paraId="2F25AD40">
            <w:pPr>
              <w:pStyle w:val="2"/>
              <w:jc w:val="center"/>
              <w:rPr>
                <w:rFonts w:hint="eastAsia" w:ascii="宋体" w:hAnsi="宋体" w:eastAsia="宋体" w:cs="宋体"/>
                <w:szCs w:val="21"/>
              </w:rPr>
            </w:pPr>
            <w:r>
              <w:rPr>
                <w:rFonts w:hint="eastAsia" w:ascii="宋体" w:hAnsi="宋体" w:eastAsia="宋体" w:cs="宋体"/>
                <w:szCs w:val="21"/>
              </w:rPr>
              <w:t>每日占比</w:t>
            </w:r>
          </w:p>
        </w:tc>
        <w:tc>
          <w:tcPr>
            <w:tcW w:w="1000" w:type="pct"/>
            <w:vAlign w:val="center"/>
          </w:tcPr>
          <w:p w14:paraId="1FBE0CC0">
            <w:pPr>
              <w:pStyle w:val="2"/>
              <w:jc w:val="center"/>
              <w:rPr>
                <w:rFonts w:hint="eastAsia" w:ascii="宋体" w:hAnsi="宋体" w:eastAsia="宋体" w:cs="宋体"/>
                <w:szCs w:val="21"/>
              </w:rPr>
            </w:pPr>
            <w:r>
              <w:rPr>
                <w:rFonts w:hint="eastAsia" w:ascii="宋体" w:hAnsi="宋体" w:eastAsia="宋体" w:cs="宋体"/>
                <w:szCs w:val="21"/>
              </w:rPr>
              <w:t>天数（天）/月</w:t>
            </w:r>
          </w:p>
        </w:tc>
        <w:tc>
          <w:tcPr>
            <w:tcW w:w="1000" w:type="pct"/>
            <w:vAlign w:val="center"/>
          </w:tcPr>
          <w:p w14:paraId="58B2DC8B">
            <w:pPr>
              <w:pStyle w:val="2"/>
              <w:jc w:val="center"/>
              <w:rPr>
                <w:rFonts w:hint="eastAsia" w:ascii="宋体" w:hAnsi="宋体" w:eastAsia="宋体" w:cs="宋体"/>
                <w:szCs w:val="21"/>
              </w:rPr>
            </w:pPr>
            <w:r>
              <w:rPr>
                <w:rFonts w:hint="eastAsia" w:ascii="宋体" w:hAnsi="宋体" w:eastAsia="宋体" w:cs="宋体"/>
                <w:szCs w:val="21"/>
              </w:rPr>
              <w:t>总人数（位）</w:t>
            </w:r>
          </w:p>
        </w:tc>
        <w:tc>
          <w:tcPr>
            <w:tcW w:w="1000" w:type="pct"/>
            <w:vAlign w:val="center"/>
          </w:tcPr>
          <w:p w14:paraId="7A155ED9">
            <w:pPr>
              <w:pStyle w:val="2"/>
              <w:jc w:val="center"/>
              <w:rPr>
                <w:rFonts w:hint="eastAsia" w:ascii="宋体" w:hAnsi="宋体" w:eastAsia="宋体" w:cs="宋体"/>
                <w:szCs w:val="21"/>
              </w:rPr>
            </w:pPr>
            <w:r>
              <w:rPr>
                <w:rFonts w:hint="eastAsia" w:ascii="宋体" w:hAnsi="宋体" w:eastAsia="宋体" w:cs="宋体"/>
                <w:szCs w:val="21"/>
              </w:rPr>
              <w:t>服务期限</w:t>
            </w:r>
          </w:p>
        </w:tc>
      </w:tr>
      <w:tr w14:paraId="25F782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trPr>
        <w:tc>
          <w:tcPr>
            <w:tcW w:w="1176" w:type="pct"/>
            <w:vAlign w:val="center"/>
          </w:tcPr>
          <w:p w14:paraId="5865294A">
            <w:pPr>
              <w:pStyle w:val="2"/>
              <w:jc w:val="center"/>
              <w:rPr>
                <w:rFonts w:hint="eastAsia" w:ascii="宋体" w:hAnsi="宋体" w:eastAsia="宋体" w:cs="宋体"/>
                <w:szCs w:val="21"/>
              </w:rPr>
            </w:pPr>
            <w:r>
              <w:rPr>
                <w:rFonts w:hint="eastAsia" w:ascii="宋体" w:hAnsi="宋体" w:eastAsia="宋体" w:cs="宋体"/>
                <w:szCs w:val="21"/>
              </w:rPr>
              <w:t>蔬菜</w:t>
            </w:r>
          </w:p>
        </w:tc>
        <w:tc>
          <w:tcPr>
            <w:tcW w:w="820" w:type="pct"/>
            <w:vAlign w:val="center"/>
          </w:tcPr>
          <w:p w14:paraId="021C13C8">
            <w:pPr>
              <w:pStyle w:val="2"/>
              <w:jc w:val="center"/>
              <w:rPr>
                <w:rFonts w:hint="eastAsia" w:ascii="宋体" w:hAnsi="宋体" w:eastAsia="宋体" w:cs="宋体"/>
                <w:szCs w:val="21"/>
              </w:rPr>
            </w:pPr>
            <w:r>
              <w:rPr>
                <w:rFonts w:hint="eastAsia" w:ascii="宋体" w:hAnsi="宋体" w:eastAsia="宋体" w:cs="宋体"/>
                <w:szCs w:val="21"/>
              </w:rPr>
              <w:t>35%</w:t>
            </w:r>
          </w:p>
        </w:tc>
        <w:tc>
          <w:tcPr>
            <w:tcW w:w="1000" w:type="pct"/>
            <w:vAlign w:val="center"/>
          </w:tcPr>
          <w:p w14:paraId="3E6D5516">
            <w:pPr>
              <w:pStyle w:val="2"/>
              <w:jc w:val="center"/>
              <w:rPr>
                <w:rFonts w:hint="eastAsia" w:ascii="宋体" w:hAnsi="宋体" w:eastAsia="宋体" w:cs="宋体"/>
                <w:szCs w:val="21"/>
              </w:rPr>
            </w:pPr>
            <w:r>
              <w:rPr>
                <w:rFonts w:hint="eastAsia" w:ascii="宋体" w:hAnsi="宋体" w:eastAsia="宋体" w:cs="宋体"/>
                <w:szCs w:val="21"/>
              </w:rPr>
              <w:t>22</w:t>
            </w:r>
          </w:p>
        </w:tc>
        <w:tc>
          <w:tcPr>
            <w:tcW w:w="1000" w:type="pct"/>
            <w:vAlign w:val="center"/>
          </w:tcPr>
          <w:p w14:paraId="12C1F5AB">
            <w:pPr>
              <w:pStyle w:val="2"/>
              <w:jc w:val="center"/>
              <w:rPr>
                <w:rFonts w:hint="eastAsia" w:ascii="宋体" w:hAnsi="宋体" w:eastAsia="宋体" w:cs="宋体"/>
                <w:szCs w:val="21"/>
              </w:rPr>
            </w:pPr>
            <w:r>
              <w:rPr>
                <w:rFonts w:hint="eastAsia" w:ascii="宋体" w:hAnsi="宋体" w:eastAsia="宋体" w:cs="宋体"/>
                <w:szCs w:val="21"/>
              </w:rPr>
              <w:t>220</w:t>
            </w:r>
          </w:p>
        </w:tc>
        <w:tc>
          <w:tcPr>
            <w:tcW w:w="1000" w:type="pct"/>
            <w:vMerge w:val="restart"/>
            <w:vAlign w:val="center"/>
          </w:tcPr>
          <w:p w14:paraId="595C624C">
            <w:pPr>
              <w:pStyle w:val="2"/>
              <w:jc w:val="both"/>
              <w:rPr>
                <w:rFonts w:hint="eastAsia" w:ascii="宋体" w:hAnsi="宋体" w:eastAsia="宋体" w:cs="宋体"/>
                <w:szCs w:val="21"/>
              </w:rPr>
            </w:pPr>
          </w:p>
        </w:tc>
      </w:tr>
      <w:tr w14:paraId="2DC84F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trPr>
        <w:tc>
          <w:tcPr>
            <w:tcW w:w="1176" w:type="pct"/>
            <w:vAlign w:val="center"/>
          </w:tcPr>
          <w:p w14:paraId="3D336536">
            <w:pPr>
              <w:pStyle w:val="2"/>
              <w:jc w:val="center"/>
              <w:rPr>
                <w:rFonts w:hint="eastAsia" w:ascii="宋体" w:hAnsi="宋体" w:eastAsia="宋体" w:cs="宋体"/>
                <w:szCs w:val="21"/>
              </w:rPr>
            </w:pPr>
            <w:r>
              <w:rPr>
                <w:rFonts w:hint="eastAsia" w:ascii="宋体" w:hAnsi="宋体" w:eastAsia="宋体" w:cs="宋体"/>
                <w:szCs w:val="21"/>
              </w:rPr>
              <w:t>肉类</w:t>
            </w:r>
          </w:p>
        </w:tc>
        <w:tc>
          <w:tcPr>
            <w:tcW w:w="820" w:type="pct"/>
            <w:vAlign w:val="center"/>
          </w:tcPr>
          <w:p w14:paraId="4DAC9686">
            <w:pPr>
              <w:pStyle w:val="2"/>
              <w:jc w:val="center"/>
              <w:rPr>
                <w:rFonts w:hint="eastAsia" w:ascii="宋体" w:hAnsi="宋体" w:eastAsia="宋体" w:cs="宋体"/>
                <w:szCs w:val="21"/>
              </w:rPr>
            </w:pPr>
            <w:r>
              <w:rPr>
                <w:rFonts w:hint="eastAsia" w:ascii="宋体" w:hAnsi="宋体" w:eastAsia="宋体" w:cs="宋体"/>
                <w:szCs w:val="21"/>
              </w:rPr>
              <w:t>45%</w:t>
            </w:r>
          </w:p>
        </w:tc>
        <w:tc>
          <w:tcPr>
            <w:tcW w:w="1000" w:type="pct"/>
            <w:vAlign w:val="center"/>
          </w:tcPr>
          <w:p w14:paraId="7F8101E3">
            <w:pPr>
              <w:pStyle w:val="2"/>
              <w:jc w:val="center"/>
              <w:rPr>
                <w:rFonts w:hint="eastAsia" w:ascii="宋体" w:hAnsi="宋体" w:eastAsia="宋体" w:cs="宋体"/>
                <w:szCs w:val="21"/>
              </w:rPr>
            </w:pPr>
            <w:r>
              <w:rPr>
                <w:rFonts w:hint="eastAsia" w:ascii="宋体" w:hAnsi="宋体" w:eastAsia="宋体" w:cs="宋体"/>
                <w:szCs w:val="21"/>
              </w:rPr>
              <w:t>22</w:t>
            </w:r>
          </w:p>
        </w:tc>
        <w:tc>
          <w:tcPr>
            <w:tcW w:w="1000" w:type="pct"/>
            <w:vAlign w:val="center"/>
          </w:tcPr>
          <w:p w14:paraId="0E77C3BE">
            <w:pPr>
              <w:pStyle w:val="2"/>
              <w:jc w:val="center"/>
              <w:rPr>
                <w:rFonts w:hint="eastAsia" w:ascii="宋体" w:hAnsi="宋体" w:eastAsia="宋体" w:cs="宋体"/>
                <w:szCs w:val="21"/>
              </w:rPr>
            </w:pPr>
            <w:r>
              <w:rPr>
                <w:rFonts w:hint="eastAsia" w:ascii="宋体" w:hAnsi="宋体" w:eastAsia="宋体" w:cs="宋体"/>
                <w:szCs w:val="21"/>
              </w:rPr>
              <w:t>220</w:t>
            </w:r>
          </w:p>
        </w:tc>
        <w:tc>
          <w:tcPr>
            <w:tcW w:w="1000" w:type="pct"/>
            <w:vMerge w:val="continue"/>
            <w:vAlign w:val="center"/>
          </w:tcPr>
          <w:p w14:paraId="55566A5E">
            <w:pPr>
              <w:pStyle w:val="2"/>
              <w:jc w:val="center"/>
              <w:rPr>
                <w:rFonts w:hint="eastAsia" w:ascii="宋体" w:hAnsi="宋体" w:eastAsia="宋体" w:cs="宋体"/>
                <w:szCs w:val="21"/>
              </w:rPr>
            </w:pPr>
          </w:p>
        </w:tc>
      </w:tr>
      <w:tr w14:paraId="6C6C70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1176" w:type="pct"/>
            <w:vAlign w:val="center"/>
          </w:tcPr>
          <w:p w14:paraId="6FF5A74A">
            <w:pPr>
              <w:pStyle w:val="2"/>
              <w:jc w:val="center"/>
              <w:rPr>
                <w:rFonts w:hint="eastAsia" w:ascii="宋体" w:hAnsi="宋体" w:eastAsia="宋体" w:cs="宋体"/>
                <w:szCs w:val="21"/>
              </w:rPr>
            </w:pPr>
            <w:r>
              <w:rPr>
                <w:rFonts w:hint="eastAsia" w:ascii="宋体" w:hAnsi="宋体" w:eastAsia="宋体" w:cs="宋体"/>
                <w:szCs w:val="21"/>
              </w:rPr>
              <w:t>干调及其它</w:t>
            </w:r>
          </w:p>
        </w:tc>
        <w:tc>
          <w:tcPr>
            <w:tcW w:w="820" w:type="pct"/>
            <w:vAlign w:val="center"/>
          </w:tcPr>
          <w:p w14:paraId="080BD9F9">
            <w:pPr>
              <w:pStyle w:val="2"/>
              <w:jc w:val="center"/>
              <w:rPr>
                <w:rFonts w:hint="eastAsia" w:ascii="宋体" w:hAnsi="宋体" w:eastAsia="宋体" w:cs="宋体"/>
                <w:szCs w:val="21"/>
              </w:rPr>
            </w:pPr>
            <w:r>
              <w:rPr>
                <w:rFonts w:hint="eastAsia" w:ascii="宋体" w:hAnsi="宋体" w:eastAsia="宋体" w:cs="宋体"/>
                <w:szCs w:val="21"/>
              </w:rPr>
              <w:t>20%</w:t>
            </w:r>
          </w:p>
        </w:tc>
        <w:tc>
          <w:tcPr>
            <w:tcW w:w="1000" w:type="pct"/>
            <w:vAlign w:val="center"/>
          </w:tcPr>
          <w:p w14:paraId="62DDA7DB">
            <w:pPr>
              <w:pStyle w:val="2"/>
              <w:jc w:val="center"/>
              <w:rPr>
                <w:rFonts w:hint="eastAsia" w:ascii="宋体" w:hAnsi="宋体" w:eastAsia="宋体" w:cs="宋体"/>
                <w:szCs w:val="21"/>
              </w:rPr>
            </w:pPr>
            <w:r>
              <w:rPr>
                <w:rFonts w:hint="eastAsia" w:ascii="宋体" w:hAnsi="宋体" w:eastAsia="宋体" w:cs="宋体"/>
                <w:szCs w:val="21"/>
              </w:rPr>
              <w:t>22</w:t>
            </w:r>
          </w:p>
        </w:tc>
        <w:tc>
          <w:tcPr>
            <w:tcW w:w="1000" w:type="pct"/>
            <w:vAlign w:val="center"/>
          </w:tcPr>
          <w:p w14:paraId="7AA11E7F">
            <w:pPr>
              <w:pStyle w:val="2"/>
              <w:jc w:val="center"/>
              <w:rPr>
                <w:rFonts w:hint="eastAsia" w:ascii="宋体" w:hAnsi="宋体" w:eastAsia="宋体" w:cs="宋体"/>
                <w:szCs w:val="21"/>
              </w:rPr>
            </w:pPr>
            <w:r>
              <w:rPr>
                <w:rFonts w:hint="eastAsia" w:ascii="宋体" w:hAnsi="宋体" w:eastAsia="宋体" w:cs="宋体"/>
                <w:szCs w:val="21"/>
              </w:rPr>
              <w:t>220</w:t>
            </w:r>
          </w:p>
        </w:tc>
        <w:tc>
          <w:tcPr>
            <w:tcW w:w="1000" w:type="pct"/>
            <w:vMerge w:val="continue"/>
            <w:vAlign w:val="center"/>
          </w:tcPr>
          <w:p w14:paraId="187F873D">
            <w:pPr>
              <w:pStyle w:val="2"/>
              <w:jc w:val="center"/>
              <w:rPr>
                <w:rFonts w:hint="eastAsia" w:ascii="宋体" w:hAnsi="宋体" w:eastAsia="宋体" w:cs="宋体"/>
                <w:szCs w:val="21"/>
              </w:rPr>
            </w:pPr>
          </w:p>
        </w:tc>
      </w:tr>
    </w:tbl>
    <w:p w14:paraId="4A0F69F9">
      <w:pPr>
        <w:pStyle w:val="4"/>
        <w:spacing w:after="156" w:afterLines="50"/>
        <w:ind w:firstLine="590" w:firstLineChars="196"/>
        <w:rPr>
          <w:rFonts w:hint="eastAsia" w:ascii="宋体" w:hAnsi="宋体" w:eastAsia="宋体" w:cs="宋体"/>
          <w:color w:val="auto"/>
          <w:sz w:val="30"/>
          <w:szCs w:val="30"/>
        </w:rPr>
      </w:pPr>
      <w:r>
        <w:rPr>
          <w:rFonts w:hint="eastAsia" w:ascii="宋体" w:hAnsi="宋体" w:eastAsia="宋体" w:cs="宋体"/>
          <w:color w:val="auto"/>
          <w:sz w:val="30"/>
          <w:szCs w:val="30"/>
        </w:rPr>
        <w:t>第二条 合同价款</w:t>
      </w:r>
    </w:p>
    <w:p w14:paraId="692D6086">
      <w:pPr>
        <w:pStyle w:val="4"/>
        <w:ind w:firstLine="516" w:firstLineChars="246"/>
        <w:rPr>
          <w:rFonts w:hint="eastAsia" w:ascii="宋体" w:hAnsi="宋体" w:eastAsia="宋体" w:cs="宋体"/>
          <w:b w:val="0"/>
          <w:color w:val="auto"/>
          <w:sz w:val="21"/>
          <w:highlight w:val="none"/>
        </w:rPr>
      </w:pPr>
      <w:r>
        <w:rPr>
          <w:rFonts w:hint="eastAsia" w:ascii="宋体" w:hAnsi="宋体" w:eastAsia="宋体" w:cs="宋体"/>
          <w:b w:val="0"/>
          <w:color w:val="auto"/>
          <w:sz w:val="21"/>
          <w:highlight w:val="none"/>
        </w:rPr>
        <w:t>1.合同价：</w:t>
      </w:r>
      <w:bookmarkStart w:id="0" w:name="_GoBack"/>
      <w:r>
        <w:rPr>
          <w:rFonts w:hint="eastAsia" w:ascii="宋体" w:hAnsi="宋体" w:eastAsia="宋体" w:cs="宋体"/>
          <w:b w:val="0"/>
          <w:color w:val="auto"/>
          <w:sz w:val="21"/>
          <w:highlight w:val="none"/>
          <w:u w:val="none"/>
          <w:lang w:val="en-US" w:eastAsia="zh-CN"/>
        </w:rPr>
        <w:t>市场行情价的</w:t>
      </w:r>
      <w:bookmarkEnd w:id="0"/>
      <w:r>
        <w:rPr>
          <w:rFonts w:hint="eastAsia" w:ascii="宋体" w:hAnsi="宋体" w:eastAsia="宋体" w:cs="宋体"/>
          <w:b w:val="0"/>
          <w:color w:val="auto"/>
          <w:sz w:val="21"/>
          <w:highlight w:val="none"/>
          <w:u w:val="single"/>
          <w:lang w:val="en-US" w:eastAsia="zh-CN"/>
        </w:rPr>
        <w:t xml:space="preserve">         %</w:t>
      </w:r>
      <w:r>
        <w:rPr>
          <w:rFonts w:hint="eastAsia" w:ascii="宋体" w:hAnsi="宋体" w:eastAsia="宋体" w:cs="宋体"/>
          <w:b w:val="0"/>
          <w:color w:val="auto"/>
          <w:sz w:val="21"/>
          <w:highlight w:val="none"/>
        </w:rPr>
        <w:t>。</w:t>
      </w:r>
    </w:p>
    <w:p w14:paraId="33F2CFB9">
      <w:pPr>
        <w:pStyle w:val="4"/>
        <w:ind w:firstLine="516" w:firstLineChars="246"/>
        <w:rPr>
          <w:rFonts w:hint="eastAsia" w:ascii="宋体" w:hAnsi="宋体" w:eastAsia="宋体" w:cs="宋体"/>
          <w:b w:val="0"/>
          <w:color w:val="auto"/>
          <w:sz w:val="21"/>
        </w:rPr>
      </w:pPr>
      <w:r>
        <w:rPr>
          <w:rFonts w:hint="eastAsia" w:ascii="宋体" w:hAnsi="宋体" w:eastAsia="宋体" w:cs="宋体"/>
          <w:b w:val="0"/>
          <w:color w:val="auto"/>
          <w:sz w:val="21"/>
        </w:rPr>
        <w:t>2.本合同价包含了包装、集货、储存、分拣、装卸、运输、保险、税金、服务及其它附加费用等一切费用。</w:t>
      </w:r>
    </w:p>
    <w:p w14:paraId="152B5012">
      <w:pPr>
        <w:pStyle w:val="4"/>
        <w:ind w:firstLine="516" w:firstLineChars="246"/>
        <w:rPr>
          <w:rFonts w:hint="eastAsia" w:ascii="宋体" w:hAnsi="宋体" w:eastAsia="宋体" w:cs="宋体"/>
          <w:b w:val="0"/>
          <w:color w:val="auto"/>
          <w:sz w:val="21"/>
        </w:rPr>
      </w:pPr>
      <w:r>
        <w:rPr>
          <w:rFonts w:hint="eastAsia" w:ascii="宋体" w:hAnsi="宋体" w:eastAsia="宋体" w:cs="宋体"/>
          <w:b w:val="0"/>
          <w:color w:val="auto"/>
          <w:sz w:val="21"/>
        </w:rPr>
        <w:t>3.配送蔬菜、水果、肉蛋禽、水产的价格按每周定价一次，根据市场行情报价。配送饮品、干货、调料、杂粮、西点、米面油原材料每月定价一次，根据市场行情报价。每次双方以书面形式确定价格，作为当期的配送价，结算时以此作为依据。</w:t>
      </w:r>
    </w:p>
    <w:p w14:paraId="63CB1306">
      <w:pPr>
        <w:pStyle w:val="4"/>
        <w:ind w:firstLine="516" w:firstLineChars="246"/>
        <w:rPr>
          <w:rFonts w:hint="eastAsia" w:ascii="宋体" w:hAnsi="宋体" w:eastAsia="宋体" w:cs="宋体"/>
          <w:b w:val="0"/>
          <w:bCs/>
          <w:color w:val="auto"/>
          <w:sz w:val="21"/>
        </w:rPr>
      </w:pPr>
      <w:r>
        <w:rPr>
          <w:rFonts w:hint="eastAsia" w:ascii="宋体" w:hAnsi="宋体" w:eastAsia="宋体" w:cs="宋体"/>
          <w:b w:val="0"/>
          <w:bCs/>
          <w:color w:val="auto"/>
          <w:sz w:val="21"/>
        </w:rPr>
        <w:t>4、乙方供应的具体食品原材料价格，须与甲方协商确定，不得高于当地市场价格及大型超市（华润万家科技路店）价格。</w:t>
      </w:r>
    </w:p>
    <w:p w14:paraId="47036B2C">
      <w:pPr>
        <w:pStyle w:val="4"/>
        <w:ind w:firstLine="516" w:firstLineChars="246"/>
        <w:rPr>
          <w:rFonts w:hint="eastAsia" w:ascii="宋体" w:hAnsi="宋体" w:eastAsia="宋体" w:cs="宋体"/>
          <w:b w:val="0"/>
          <w:bCs/>
          <w:color w:val="auto"/>
          <w:sz w:val="21"/>
        </w:rPr>
      </w:pPr>
      <w:r>
        <w:rPr>
          <w:rFonts w:hint="eastAsia" w:ascii="宋体" w:hAnsi="宋体" w:eastAsia="宋体" w:cs="宋体"/>
          <w:b w:val="0"/>
          <w:bCs/>
          <w:color w:val="auto"/>
          <w:sz w:val="21"/>
        </w:rPr>
        <w:t>5、价格经双方确认后，无论市场价格怎样变化，本时段配送价格将不予调整。</w:t>
      </w:r>
    </w:p>
    <w:p w14:paraId="23E019C4">
      <w:pPr>
        <w:pStyle w:val="4"/>
        <w:spacing w:before="156" w:beforeLines="50" w:after="156" w:afterLines="50"/>
        <w:ind w:firstLine="452" w:firstLineChars="150"/>
        <w:rPr>
          <w:rFonts w:hint="eastAsia" w:ascii="宋体" w:hAnsi="宋体" w:eastAsia="宋体" w:cs="宋体"/>
          <w:color w:val="auto"/>
          <w:sz w:val="30"/>
          <w:szCs w:val="30"/>
        </w:rPr>
      </w:pPr>
      <w:r>
        <w:rPr>
          <w:rFonts w:hint="eastAsia" w:ascii="宋体" w:hAnsi="宋体" w:eastAsia="宋体" w:cs="宋体"/>
          <w:color w:val="auto"/>
          <w:sz w:val="30"/>
          <w:szCs w:val="30"/>
        </w:rPr>
        <w:t>第三条 货款支付</w:t>
      </w:r>
    </w:p>
    <w:p w14:paraId="79FBEEFB">
      <w:pPr>
        <w:pStyle w:val="25"/>
        <w:spacing w:before="156" w:beforeLines="50" w:after="156" w:afterLines="50" w:line="360" w:lineRule="auto"/>
        <w:ind w:firstLine="348" w:firstLineChars="166"/>
        <w:rPr>
          <w:rFonts w:hint="eastAsia" w:ascii="宋体" w:hAnsi="宋体" w:eastAsia="宋体" w:cs="宋体"/>
          <w:sz w:val="21"/>
          <w:szCs w:val="21"/>
        </w:rPr>
      </w:pPr>
      <w:r>
        <w:rPr>
          <w:rFonts w:hint="eastAsia" w:ascii="宋体" w:hAnsi="宋体" w:eastAsia="宋体" w:cs="宋体"/>
          <w:sz w:val="21"/>
          <w:szCs w:val="21"/>
        </w:rPr>
        <w:t xml:space="preserve">1、甲乙双方按约定定价方法定价，作为合同执行价，最后按实际用量结算。 </w:t>
      </w:r>
    </w:p>
    <w:p w14:paraId="3D0E777C">
      <w:pPr>
        <w:pStyle w:val="25"/>
        <w:spacing w:before="156" w:beforeLines="50" w:after="156" w:afterLines="50" w:line="360" w:lineRule="auto"/>
        <w:ind w:firstLine="348" w:firstLineChars="166"/>
        <w:rPr>
          <w:rFonts w:hint="eastAsia" w:ascii="宋体" w:hAnsi="宋体" w:eastAsia="宋体" w:cs="宋体"/>
          <w:sz w:val="21"/>
          <w:szCs w:val="21"/>
        </w:rPr>
      </w:pPr>
      <w:r>
        <w:rPr>
          <w:rFonts w:hint="eastAsia" w:ascii="宋体" w:hAnsi="宋体" w:eastAsia="宋体" w:cs="宋体"/>
          <w:sz w:val="21"/>
          <w:szCs w:val="21"/>
        </w:rPr>
        <w:t>2、每月凭定价单和验收单结算一次（节假日顺延），采用支票或转帐结算。甲方付款前，乙方需提供与货款等额的正规发票，否则甲方有权拒绝付款，并不承担迟延付款责任。</w:t>
      </w:r>
    </w:p>
    <w:p w14:paraId="2F64352E">
      <w:pPr>
        <w:pStyle w:val="25"/>
        <w:spacing w:before="156" w:beforeLines="50" w:after="156" w:afterLines="50" w:line="360" w:lineRule="auto"/>
        <w:ind w:firstLine="500" w:firstLineChars="166"/>
        <w:rPr>
          <w:rFonts w:hint="eastAsia" w:ascii="宋体" w:hAnsi="宋体" w:eastAsia="宋体" w:cs="宋体"/>
          <w:b/>
          <w:sz w:val="30"/>
          <w:szCs w:val="30"/>
        </w:rPr>
      </w:pPr>
      <w:r>
        <w:rPr>
          <w:rFonts w:hint="eastAsia" w:ascii="宋体" w:hAnsi="宋体" w:eastAsia="宋体" w:cs="宋体"/>
          <w:b/>
          <w:sz w:val="30"/>
          <w:szCs w:val="30"/>
        </w:rPr>
        <w:t>第四条 采购计划与交货地点与交货时间</w:t>
      </w:r>
    </w:p>
    <w:p w14:paraId="24C2BC0D">
      <w:pPr>
        <w:pStyle w:val="25"/>
        <w:spacing w:line="360" w:lineRule="auto"/>
        <w:ind w:firstLine="561" w:firstLineChars="0"/>
        <w:rPr>
          <w:rFonts w:hint="eastAsia" w:ascii="宋体" w:hAnsi="宋体" w:eastAsia="宋体" w:cs="宋体"/>
          <w:sz w:val="21"/>
          <w:szCs w:val="21"/>
        </w:rPr>
      </w:pPr>
      <w:r>
        <w:rPr>
          <w:rFonts w:hint="eastAsia" w:ascii="宋体" w:hAnsi="宋体" w:eastAsia="宋体" w:cs="宋体"/>
          <w:sz w:val="21"/>
          <w:szCs w:val="21"/>
        </w:rPr>
        <w:t>1、甲方每天下午18:00前向乙方下达第二天的订单，甲方以微信或电话方式直接通知乙方，最终采购下订单数量以甲方每天下订单的数量为准。</w:t>
      </w:r>
    </w:p>
    <w:p w14:paraId="4ADC556E">
      <w:pPr>
        <w:pStyle w:val="25"/>
        <w:spacing w:line="360" w:lineRule="auto"/>
        <w:ind w:firstLine="561" w:firstLineChars="0"/>
        <w:rPr>
          <w:rFonts w:hint="eastAsia" w:ascii="宋体" w:hAnsi="宋体" w:eastAsia="宋体" w:cs="宋体"/>
          <w:sz w:val="21"/>
          <w:szCs w:val="21"/>
        </w:rPr>
      </w:pPr>
      <w:r>
        <w:rPr>
          <w:rFonts w:hint="eastAsia" w:ascii="宋体" w:hAnsi="宋体" w:eastAsia="宋体" w:cs="宋体"/>
          <w:sz w:val="21"/>
          <w:szCs w:val="21"/>
        </w:rPr>
        <w:t>2、原则上考虑到叶菜类品种的特殊性，要求乙方实际供应除叶菜类外的品种及数量与甲方订单要求相差不能超过10％，叶菜类的品种及数量与甲方订单要求相差不能超过10％。各品种数量超出规定的部分由乙方带回，不纳入结算，短缺的部份由乙方补足。采购计划与实际下达的订单偏差控制在10％以内。</w:t>
      </w:r>
    </w:p>
    <w:p w14:paraId="43D14187">
      <w:pPr>
        <w:pStyle w:val="25"/>
        <w:spacing w:line="360" w:lineRule="auto"/>
        <w:ind w:firstLine="561" w:firstLineChars="0"/>
        <w:rPr>
          <w:rFonts w:hint="eastAsia" w:ascii="宋体" w:hAnsi="宋体" w:eastAsia="宋体" w:cs="宋体"/>
          <w:sz w:val="21"/>
          <w:szCs w:val="21"/>
        </w:rPr>
      </w:pPr>
      <w:r>
        <w:rPr>
          <w:rFonts w:hint="eastAsia" w:ascii="宋体" w:hAnsi="宋体" w:eastAsia="宋体" w:cs="宋体"/>
          <w:sz w:val="21"/>
          <w:szCs w:val="21"/>
        </w:rPr>
        <w:t>3、双方可根据蔬菜生产季节、天气、市场价格情况等协商调整每期采购计划中蔬菜品种和数量。乙方必须能保证提供丰富的品种供甲方选择。</w:t>
      </w:r>
    </w:p>
    <w:p w14:paraId="77E6C14A">
      <w:pPr>
        <w:pStyle w:val="25"/>
        <w:spacing w:line="360" w:lineRule="auto"/>
        <w:ind w:firstLine="561" w:firstLineChars="0"/>
        <w:rPr>
          <w:rFonts w:hint="eastAsia" w:ascii="宋体" w:hAnsi="宋体" w:eastAsia="宋体" w:cs="宋体"/>
          <w:sz w:val="21"/>
          <w:szCs w:val="21"/>
        </w:rPr>
      </w:pPr>
      <w:r>
        <w:rPr>
          <w:rFonts w:hint="eastAsia" w:ascii="宋体" w:hAnsi="宋体" w:eastAsia="宋体" w:cs="宋体"/>
          <w:sz w:val="21"/>
          <w:szCs w:val="21"/>
        </w:rPr>
        <w:t>4、乙方接到甲方订单后，个别品种因缺货而无法提供的，乙方应在接到订单当天内及时知会甲方并协商好解决方法。</w:t>
      </w:r>
    </w:p>
    <w:p w14:paraId="629EAE1E">
      <w:pPr>
        <w:pStyle w:val="25"/>
        <w:spacing w:line="360" w:lineRule="auto"/>
        <w:ind w:firstLine="561" w:firstLineChars="0"/>
        <w:rPr>
          <w:rFonts w:hint="eastAsia" w:ascii="宋体" w:hAnsi="宋体" w:eastAsia="宋体" w:cs="宋体"/>
          <w:sz w:val="21"/>
          <w:szCs w:val="21"/>
        </w:rPr>
      </w:pPr>
      <w:r>
        <w:rPr>
          <w:rFonts w:hint="eastAsia" w:ascii="宋体" w:hAnsi="宋体" w:eastAsia="宋体" w:cs="宋体"/>
          <w:sz w:val="21"/>
          <w:szCs w:val="21"/>
        </w:rPr>
        <w:t>5、交货地点：鱼化寨街道办事处甲方指定地点。</w:t>
      </w:r>
    </w:p>
    <w:p w14:paraId="29B54B61">
      <w:pPr>
        <w:pStyle w:val="25"/>
        <w:spacing w:line="360" w:lineRule="auto"/>
        <w:ind w:firstLine="561" w:firstLineChars="0"/>
        <w:rPr>
          <w:rFonts w:hint="eastAsia" w:ascii="宋体" w:hAnsi="宋体" w:eastAsia="宋体" w:cs="宋体"/>
          <w:sz w:val="21"/>
          <w:szCs w:val="21"/>
        </w:rPr>
      </w:pPr>
      <w:r>
        <w:rPr>
          <w:rFonts w:hint="eastAsia" w:ascii="宋体" w:hAnsi="宋体" w:eastAsia="宋体" w:cs="宋体"/>
          <w:sz w:val="21"/>
          <w:szCs w:val="21"/>
        </w:rPr>
        <w:t>6、交货时间：甲方下达订单第二天早上7:00之前。</w:t>
      </w:r>
    </w:p>
    <w:p w14:paraId="4472652F">
      <w:pPr>
        <w:pStyle w:val="25"/>
        <w:spacing w:line="360" w:lineRule="auto"/>
        <w:ind w:firstLine="561" w:firstLineChars="0"/>
        <w:rPr>
          <w:rFonts w:hint="default" w:ascii="宋体" w:hAnsi="宋体" w:eastAsia="宋体" w:cs="宋体"/>
          <w:sz w:val="21"/>
          <w:szCs w:val="21"/>
          <w:lang w:val="en-US" w:eastAsia="zh-CN"/>
        </w:rPr>
      </w:pPr>
      <w:r>
        <w:rPr>
          <w:rFonts w:hint="eastAsia" w:ascii="宋体" w:hAnsi="宋体" w:cs="宋体"/>
          <w:sz w:val="21"/>
          <w:szCs w:val="21"/>
          <w:lang w:val="en-US" w:eastAsia="zh-CN"/>
        </w:rPr>
        <w:t>7、需要补货时，乙方在甲方提出补货需求后，乙方须在甲方要求的时间内将货物送达到甲方指定地点。</w:t>
      </w:r>
    </w:p>
    <w:p w14:paraId="3CAADB7A">
      <w:pPr>
        <w:pStyle w:val="25"/>
        <w:spacing w:before="156" w:beforeLines="50" w:after="156" w:afterLines="50" w:line="360" w:lineRule="auto"/>
        <w:ind w:firstLine="500" w:firstLineChars="166"/>
        <w:rPr>
          <w:rFonts w:hint="eastAsia" w:ascii="宋体" w:hAnsi="宋体" w:eastAsia="宋体" w:cs="宋体"/>
          <w:b/>
          <w:sz w:val="30"/>
          <w:szCs w:val="30"/>
        </w:rPr>
      </w:pPr>
      <w:r>
        <w:rPr>
          <w:rFonts w:hint="eastAsia" w:ascii="宋体" w:hAnsi="宋体" w:eastAsia="宋体" w:cs="宋体"/>
          <w:b/>
          <w:sz w:val="30"/>
          <w:szCs w:val="30"/>
        </w:rPr>
        <w:t>第五条 质量保证</w:t>
      </w:r>
    </w:p>
    <w:p w14:paraId="0C4819B6">
      <w:pPr>
        <w:pStyle w:val="25"/>
        <w:spacing w:line="360" w:lineRule="auto"/>
        <w:ind w:firstLine="525" w:firstLineChars="250"/>
        <w:rPr>
          <w:rFonts w:hint="eastAsia" w:ascii="宋体" w:hAnsi="宋体" w:eastAsia="宋体" w:cs="宋体"/>
          <w:sz w:val="21"/>
          <w:szCs w:val="21"/>
        </w:rPr>
      </w:pPr>
      <w:r>
        <w:rPr>
          <w:rFonts w:hint="eastAsia" w:ascii="宋体" w:hAnsi="宋体" w:eastAsia="宋体" w:cs="宋体"/>
          <w:sz w:val="21"/>
          <w:szCs w:val="21"/>
          <w:lang w:val="zh-CN"/>
        </w:rPr>
        <w:t>1.副食品必须符合国家《产品质量法》、《食品卫生法》、《农产品安全质量无公害蔬菜安全要求》、《食品中污染限量》、《食品中农药最大残留限量》；符合国家有关环境保护、知识产权等方面的法律要求；符合地方卫生防疫部门、检验检疫部门的各项指标，并有完整的销售合格标注；符合军队有关食品管理规定。2.以上表格中，没有涉及的品种，参照相应类别标准执行。3.调料类按国家标准《调味品分类》标准执行。</w:t>
      </w:r>
    </w:p>
    <w:p w14:paraId="7D0C213B">
      <w:pPr>
        <w:pStyle w:val="25"/>
        <w:spacing w:before="156" w:beforeLines="50" w:after="156" w:afterLines="50" w:line="360" w:lineRule="auto"/>
        <w:ind w:firstLine="602"/>
        <w:rPr>
          <w:rFonts w:hint="eastAsia" w:ascii="宋体" w:hAnsi="宋体" w:eastAsia="宋体" w:cs="宋体"/>
          <w:b/>
          <w:sz w:val="30"/>
          <w:szCs w:val="30"/>
        </w:rPr>
      </w:pPr>
      <w:r>
        <w:rPr>
          <w:rFonts w:hint="eastAsia" w:ascii="宋体" w:hAnsi="宋体" w:eastAsia="宋体" w:cs="宋体"/>
          <w:b/>
          <w:sz w:val="30"/>
          <w:szCs w:val="30"/>
        </w:rPr>
        <w:t>第六条 权利保证</w:t>
      </w:r>
    </w:p>
    <w:p w14:paraId="705FC400">
      <w:pPr>
        <w:pStyle w:val="25"/>
        <w:spacing w:line="360" w:lineRule="auto"/>
        <w:ind w:firstLine="525" w:firstLineChars="250"/>
        <w:rPr>
          <w:rFonts w:hint="eastAsia" w:ascii="宋体" w:hAnsi="宋体" w:eastAsia="宋体" w:cs="宋体"/>
          <w:sz w:val="21"/>
          <w:szCs w:val="21"/>
        </w:rPr>
      </w:pPr>
      <w:r>
        <w:rPr>
          <w:rFonts w:hint="eastAsia" w:ascii="宋体" w:hAnsi="宋体" w:eastAsia="宋体" w:cs="宋体"/>
          <w:sz w:val="21"/>
          <w:szCs w:val="21"/>
        </w:rPr>
        <w:t>1.乙方保证对其出售的货物享有合法的权利。</w:t>
      </w:r>
    </w:p>
    <w:p w14:paraId="639E5B05">
      <w:pPr>
        <w:pStyle w:val="25"/>
        <w:spacing w:line="360" w:lineRule="auto"/>
        <w:ind w:firstLine="525" w:firstLineChars="250"/>
        <w:rPr>
          <w:rFonts w:hint="eastAsia" w:ascii="宋体" w:hAnsi="宋体" w:eastAsia="宋体" w:cs="宋体"/>
          <w:sz w:val="21"/>
          <w:szCs w:val="21"/>
        </w:rPr>
      </w:pPr>
      <w:r>
        <w:rPr>
          <w:rFonts w:hint="eastAsia" w:ascii="宋体" w:hAnsi="宋体" w:eastAsia="宋体" w:cs="宋体"/>
          <w:sz w:val="21"/>
          <w:szCs w:val="21"/>
        </w:rPr>
        <w:t>2.乙方保证对其出售的货物上不存在任何未曾向甲方透露的担保物权，如抵押权、质押权、留置权。</w:t>
      </w:r>
    </w:p>
    <w:p w14:paraId="361039A7">
      <w:pPr>
        <w:pStyle w:val="25"/>
        <w:spacing w:line="360" w:lineRule="auto"/>
        <w:ind w:firstLine="525" w:firstLineChars="250"/>
        <w:rPr>
          <w:rFonts w:hint="eastAsia" w:ascii="宋体" w:hAnsi="宋体" w:eastAsia="宋体" w:cs="宋体"/>
          <w:sz w:val="21"/>
          <w:szCs w:val="21"/>
        </w:rPr>
      </w:pPr>
      <w:r>
        <w:rPr>
          <w:rFonts w:hint="eastAsia" w:ascii="宋体" w:hAnsi="宋体" w:eastAsia="宋体" w:cs="宋体"/>
          <w:sz w:val="21"/>
          <w:szCs w:val="21"/>
        </w:rPr>
        <w:t>3.乙方保证对其出售的货物或其任何一部分没有侵犯第三方的专利权、版权、商标权或其他权利。</w:t>
      </w:r>
    </w:p>
    <w:p w14:paraId="64F1CED9">
      <w:pPr>
        <w:pStyle w:val="25"/>
        <w:spacing w:line="360" w:lineRule="auto"/>
        <w:ind w:left="141" w:leftChars="67" w:firstLine="420"/>
        <w:rPr>
          <w:rFonts w:hint="eastAsia" w:ascii="宋体" w:hAnsi="宋体" w:eastAsia="宋体" w:cs="宋体"/>
          <w:b/>
          <w:sz w:val="21"/>
          <w:szCs w:val="21"/>
        </w:rPr>
      </w:pPr>
      <w:r>
        <w:rPr>
          <w:rFonts w:hint="eastAsia" w:ascii="宋体" w:hAnsi="宋体" w:eastAsia="宋体" w:cs="宋体"/>
          <w:sz w:val="21"/>
          <w:szCs w:val="21"/>
        </w:rPr>
        <w:t>4.如甲方在使用该货物构成上述侵权的，则由乙方承担全部责任。</w:t>
      </w:r>
    </w:p>
    <w:p w14:paraId="266F871B">
      <w:pPr>
        <w:pStyle w:val="25"/>
        <w:spacing w:before="156" w:beforeLines="50" w:after="156" w:afterLines="50" w:line="360" w:lineRule="auto"/>
        <w:ind w:firstLine="500" w:firstLineChars="166"/>
        <w:rPr>
          <w:rFonts w:hint="eastAsia" w:ascii="宋体" w:hAnsi="宋体" w:eastAsia="宋体" w:cs="宋体"/>
          <w:sz w:val="30"/>
          <w:szCs w:val="30"/>
        </w:rPr>
      </w:pPr>
      <w:r>
        <w:rPr>
          <w:rFonts w:hint="eastAsia" w:ascii="宋体" w:hAnsi="宋体" w:eastAsia="宋体" w:cs="宋体"/>
          <w:b/>
          <w:sz w:val="30"/>
          <w:szCs w:val="30"/>
        </w:rPr>
        <w:t xml:space="preserve">第七条 包装要求与运输方式  </w:t>
      </w:r>
      <w:r>
        <w:rPr>
          <w:rFonts w:hint="eastAsia" w:ascii="宋体" w:hAnsi="宋体" w:eastAsia="宋体" w:cs="宋体"/>
          <w:sz w:val="30"/>
          <w:szCs w:val="30"/>
        </w:rPr>
        <w:t xml:space="preserve"> </w:t>
      </w:r>
    </w:p>
    <w:p w14:paraId="37559996">
      <w:pPr>
        <w:pStyle w:val="25"/>
        <w:spacing w:line="360" w:lineRule="auto"/>
        <w:ind w:left="141" w:leftChars="67" w:firstLine="315" w:firstLineChars="150"/>
        <w:rPr>
          <w:rFonts w:hint="eastAsia" w:ascii="宋体" w:hAnsi="宋体" w:eastAsia="宋体" w:cs="宋体"/>
          <w:sz w:val="21"/>
          <w:szCs w:val="21"/>
        </w:rPr>
      </w:pPr>
      <w:r>
        <w:rPr>
          <w:rFonts w:hint="eastAsia" w:ascii="宋体" w:hAnsi="宋体" w:eastAsia="宋体" w:cs="宋体"/>
          <w:sz w:val="21"/>
          <w:szCs w:val="21"/>
        </w:rPr>
        <w:t>1.若遇特殊情况，乙方能按采购人要求及时补货，应在1小时内送达。</w:t>
      </w:r>
    </w:p>
    <w:p w14:paraId="475CCB2C">
      <w:pPr>
        <w:pStyle w:val="25"/>
        <w:spacing w:line="360" w:lineRule="auto"/>
        <w:ind w:left="141" w:leftChars="67" w:firstLine="315" w:firstLineChars="150"/>
        <w:rPr>
          <w:rFonts w:hint="eastAsia" w:ascii="宋体" w:hAnsi="宋体" w:eastAsia="宋体" w:cs="宋体"/>
          <w:sz w:val="21"/>
          <w:szCs w:val="21"/>
        </w:rPr>
      </w:pPr>
      <w:r>
        <w:rPr>
          <w:rFonts w:hint="eastAsia" w:ascii="宋体" w:hAnsi="宋体" w:eastAsia="宋体" w:cs="宋体"/>
          <w:sz w:val="21"/>
          <w:szCs w:val="21"/>
        </w:rPr>
        <w:t>2.未经过甲方同意提前或推迟送货，甲方有权拒绝验收签单。</w:t>
      </w:r>
    </w:p>
    <w:p w14:paraId="7A241BDA">
      <w:pPr>
        <w:pStyle w:val="25"/>
        <w:spacing w:line="360" w:lineRule="auto"/>
        <w:ind w:left="141" w:leftChars="67" w:firstLine="315" w:firstLineChars="150"/>
        <w:rPr>
          <w:rFonts w:hint="eastAsia" w:ascii="宋体" w:hAnsi="宋体" w:eastAsia="宋体" w:cs="宋体"/>
          <w:sz w:val="21"/>
          <w:szCs w:val="21"/>
        </w:rPr>
      </w:pPr>
      <w:r>
        <w:rPr>
          <w:rFonts w:hint="eastAsia" w:ascii="宋体" w:hAnsi="宋体" w:eastAsia="宋体" w:cs="宋体"/>
          <w:sz w:val="21"/>
          <w:szCs w:val="21"/>
        </w:rPr>
        <w:t xml:space="preserve">3.乙方未能提供相关清单和检验报告等证明材料，甲方有权拒绝验收签单。 </w:t>
      </w:r>
    </w:p>
    <w:p w14:paraId="19BCFE07">
      <w:pPr>
        <w:pStyle w:val="25"/>
        <w:spacing w:line="360" w:lineRule="auto"/>
        <w:ind w:left="141" w:leftChars="67" w:firstLine="315" w:firstLineChars="150"/>
        <w:rPr>
          <w:rFonts w:hint="eastAsia" w:ascii="宋体" w:hAnsi="宋体" w:eastAsia="宋体" w:cs="宋体"/>
          <w:sz w:val="21"/>
          <w:szCs w:val="21"/>
        </w:rPr>
      </w:pPr>
      <w:r>
        <w:rPr>
          <w:rFonts w:hint="eastAsia" w:ascii="宋体" w:hAnsi="宋体" w:eastAsia="宋体" w:cs="宋体"/>
          <w:sz w:val="21"/>
          <w:szCs w:val="21"/>
        </w:rPr>
        <w:t>4.规格包装的产品交付时，必须原包装完好无破损，否则甲方有权拒收。</w:t>
      </w:r>
    </w:p>
    <w:p w14:paraId="212CDF42">
      <w:pPr>
        <w:pStyle w:val="25"/>
        <w:spacing w:line="360" w:lineRule="auto"/>
        <w:ind w:left="141" w:leftChars="67" w:firstLine="315" w:firstLineChars="150"/>
        <w:rPr>
          <w:rFonts w:hint="eastAsia" w:ascii="宋体" w:hAnsi="宋体" w:eastAsia="宋体" w:cs="宋体"/>
          <w:sz w:val="21"/>
          <w:szCs w:val="21"/>
        </w:rPr>
      </w:pPr>
      <w:r>
        <w:rPr>
          <w:rFonts w:hint="eastAsia" w:ascii="宋体" w:hAnsi="宋体" w:eastAsia="宋体" w:cs="宋体"/>
          <w:sz w:val="21"/>
          <w:szCs w:val="21"/>
        </w:rPr>
        <w:t>5.乙方应针对本项目的配送工作人员必须持健康证上岗，具备专用配送车辆，并建立货物运输车辆的定期消毒制度，避免在运输过程中出现交叉污染及货物安全性出现问题。用于货物包装的材料必须清洁、无污染。货物的包装和标签必须符合相应的规定和要求。用于盛放货物的容器要清洁、干燥、牢固、无异味、无霉变现象，食品包装符合有关法规、标准的要求，包装完好无破损。乙方按规定进入配送地点的配送人员及运输工具，必须接受甲方统一管理，否则发生问题，由乙方承担责任。</w:t>
      </w:r>
    </w:p>
    <w:p w14:paraId="454BC996">
      <w:pPr>
        <w:pStyle w:val="25"/>
        <w:spacing w:line="360" w:lineRule="auto"/>
        <w:ind w:left="141" w:leftChars="67" w:firstLine="315" w:firstLineChars="150"/>
        <w:rPr>
          <w:rFonts w:hint="eastAsia" w:ascii="宋体" w:hAnsi="宋体" w:eastAsia="宋体" w:cs="宋体"/>
          <w:sz w:val="21"/>
          <w:szCs w:val="21"/>
        </w:rPr>
      </w:pPr>
      <w:r>
        <w:rPr>
          <w:rFonts w:hint="eastAsia" w:ascii="宋体" w:hAnsi="宋体" w:eastAsia="宋体" w:cs="宋体"/>
          <w:sz w:val="21"/>
          <w:szCs w:val="21"/>
        </w:rPr>
        <w:t>6.应急保障方案：乙方提供的非战争军事行动、自然灾害、公共卫生事件、停水、停电、重大疫情等情况下的应急保障方案。</w:t>
      </w:r>
    </w:p>
    <w:p w14:paraId="1947F716">
      <w:pPr>
        <w:pStyle w:val="25"/>
        <w:spacing w:before="156" w:beforeLines="50" w:after="156" w:afterLines="50" w:line="360" w:lineRule="auto"/>
        <w:ind w:firstLine="349" w:firstLineChars="116"/>
        <w:rPr>
          <w:rFonts w:hint="eastAsia" w:ascii="宋体" w:hAnsi="宋体" w:eastAsia="宋体" w:cs="宋体"/>
          <w:sz w:val="30"/>
          <w:szCs w:val="30"/>
        </w:rPr>
      </w:pPr>
      <w:r>
        <w:rPr>
          <w:rFonts w:hint="eastAsia" w:ascii="宋体" w:hAnsi="宋体" w:eastAsia="宋体" w:cs="宋体"/>
          <w:b/>
          <w:sz w:val="30"/>
          <w:szCs w:val="30"/>
        </w:rPr>
        <w:t>第八条 货物验收</w:t>
      </w:r>
    </w:p>
    <w:p w14:paraId="4EA6AAC3">
      <w:pPr>
        <w:pStyle w:val="25"/>
        <w:spacing w:line="360" w:lineRule="auto"/>
        <w:ind w:firstLine="420"/>
        <w:rPr>
          <w:rFonts w:hint="eastAsia" w:ascii="宋体" w:hAnsi="宋体" w:eastAsia="宋体" w:cs="宋体"/>
          <w:sz w:val="21"/>
          <w:szCs w:val="21"/>
        </w:rPr>
      </w:pPr>
      <w:r>
        <w:rPr>
          <w:rFonts w:hint="eastAsia" w:ascii="宋体" w:hAnsi="宋体" w:eastAsia="宋体" w:cs="宋体"/>
          <w:sz w:val="21"/>
          <w:szCs w:val="21"/>
        </w:rPr>
        <w:t>1、蔬菜类质量验收：安全、新鲜、放心的优质B类菜品。必须无黄叶，枯死叶，无虫，无杂质，色泽鲜亮，水分充足叶面饱满。原菜须保证菜面干净，无明 显泥土，码放整齐，无破损，大小基本统一，不得过熟，净菜须保证菜面完全干净，无泥土，按统一标准加工，码放整齐。乙方必须每天提供所供蔬菜的农药残留检测报告。</w:t>
      </w:r>
    </w:p>
    <w:p w14:paraId="3FF12457">
      <w:pPr>
        <w:pStyle w:val="25"/>
        <w:spacing w:line="360" w:lineRule="auto"/>
        <w:ind w:firstLine="420"/>
        <w:rPr>
          <w:rFonts w:hint="eastAsia" w:ascii="宋体" w:hAnsi="宋体" w:eastAsia="宋体" w:cs="宋体"/>
          <w:sz w:val="21"/>
          <w:szCs w:val="21"/>
        </w:rPr>
      </w:pPr>
      <w:r>
        <w:rPr>
          <w:rFonts w:hint="eastAsia" w:ascii="宋体" w:hAnsi="宋体" w:eastAsia="宋体" w:cs="宋体"/>
          <w:sz w:val="21"/>
          <w:szCs w:val="21"/>
        </w:rPr>
        <w:t>2、禽蛋类须新鲜，不超过三日以上产品，大小均匀，外壳无破裂，光洁饱满的产品，周转箱堆放。</w:t>
      </w:r>
    </w:p>
    <w:p w14:paraId="1D3CB194">
      <w:pPr>
        <w:pStyle w:val="25"/>
        <w:spacing w:line="360" w:lineRule="auto"/>
        <w:ind w:firstLine="420"/>
        <w:rPr>
          <w:rFonts w:hint="eastAsia" w:ascii="宋体" w:hAnsi="宋体" w:eastAsia="宋体" w:cs="宋体"/>
          <w:sz w:val="21"/>
          <w:szCs w:val="21"/>
        </w:rPr>
      </w:pPr>
      <w:r>
        <w:rPr>
          <w:rFonts w:hint="eastAsia" w:ascii="宋体" w:hAnsi="宋体" w:eastAsia="宋体" w:cs="宋体"/>
          <w:sz w:val="21"/>
          <w:szCs w:val="21"/>
        </w:rPr>
        <w:t>3、散装干货类质量：食品无任何破损、无挤压、无破碎、无异味、无任何表面附着物或衍生物，不掺假、不过期、不变味、无杂质、无毒无害，无霉变，符合国家食品卫生的有关规定，符合国家有关规定的放心食品。</w:t>
      </w:r>
    </w:p>
    <w:p w14:paraId="2A4BF7F7">
      <w:pPr>
        <w:pStyle w:val="25"/>
        <w:spacing w:line="360" w:lineRule="auto"/>
        <w:ind w:firstLine="420"/>
        <w:rPr>
          <w:rFonts w:hint="eastAsia" w:ascii="宋体" w:hAnsi="宋体" w:eastAsia="宋体" w:cs="宋体"/>
          <w:sz w:val="21"/>
          <w:szCs w:val="21"/>
        </w:rPr>
      </w:pPr>
      <w:r>
        <w:rPr>
          <w:rFonts w:hint="eastAsia" w:ascii="宋体" w:hAnsi="宋体" w:eastAsia="宋体" w:cs="宋体"/>
          <w:sz w:val="21"/>
          <w:szCs w:val="21"/>
        </w:rPr>
        <w:t>4、定量包装调味品食品须保证品牌、品种、内外包装规格与标注相符，是符合国家食品行业知名企业和品牌厂家生产的产品，出厂日期到收货日期间隔时间不得超出商品保质期限的三分之一，商品包装须有合格证及食品生产许可证编号和生产许可标识。必须抽样打开包装仔细检查，要求供方产品不掺假、不过期、不变质、不变味、无杂质、无毒害，货物净重量须与外包装标明的重量一致，符合国家食品行业的标准产品。且生产日期不得超过最长保质期的三分之一。</w:t>
      </w:r>
    </w:p>
    <w:p w14:paraId="1B378DBF">
      <w:pPr>
        <w:pStyle w:val="25"/>
        <w:spacing w:line="360" w:lineRule="auto"/>
        <w:ind w:firstLine="420"/>
        <w:rPr>
          <w:rFonts w:hint="eastAsia" w:ascii="宋体" w:hAnsi="宋体" w:eastAsia="宋体" w:cs="宋体"/>
          <w:sz w:val="21"/>
          <w:szCs w:val="21"/>
        </w:rPr>
      </w:pPr>
      <w:r>
        <w:rPr>
          <w:rFonts w:hint="eastAsia" w:ascii="宋体" w:hAnsi="宋体" w:eastAsia="宋体" w:cs="宋体"/>
          <w:sz w:val="21"/>
          <w:szCs w:val="21"/>
        </w:rPr>
        <w:t>5、水果须保证新鲜 ，无农药，无异味，无挤压、虫眼、过熟或欠熟，大小重量匀称等，表面无疤痕，果体光洁饱满。</w:t>
      </w:r>
    </w:p>
    <w:p w14:paraId="5BD0C158">
      <w:pPr>
        <w:pStyle w:val="25"/>
        <w:spacing w:line="360" w:lineRule="auto"/>
        <w:ind w:firstLine="420"/>
        <w:rPr>
          <w:rFonts w:hint="eastAsia" w:ascii="宋体" w:hAnsi="宋体" w:eastAsia="宋体" w:cs="宋体"/>
          <w:sz w:val="21"/>
          <w:szCs w:val="21"/>
        </w:rPr>
      </w:pPr>
      <w:r>
        <w:rPr>
          <w:rFonts w:hint="eastAsia" w:ascii="宋体" w:hAnsi="宋体" w:eastAsia="宋体" w:cs="宋体"/>
          <w:sz w:val="21"/>
          <w:szCs w:val="21"/>
        </w:rPr>
        <w:t>6、乙方配送食品原材料，必须按照食品安全卫生规定购置食用品，必须保证其产品质量，严禁购置腐烂、变质、过期的产品。对由于乙方提供不符合食品卫生标准的劣质食品，或出售任何变质和受污染的食品，造成甲方人员食物中毒的，乙方承担全部责任，所产生的费用均由乙方承担。</w:t>
      </w:r>
    </w:p>
    <w:p w14:paraId="04455805">
      <w:pPr>
        <w:pStyle w:val="25"/>
        <w:spacing w:line="360" w:lineRule="auto"/>
        <w:ind w:firstLine="420"/>
        <w:rPr>
          <w:rFonts w:hint="eastAsia" w:ascii="宋体" w:hAnsi="宋体" w:eastAsia="宋体" w:cs="宋体"/>
          <w:sz w:val="21"/>
          <w:szCs w:val="21"/>
        </w:rPr>
      </w:pPr>
      <w:r>
        <w:rPr>
          <w:rFonts w:hint="eastAsia" w:ascii="宋体" w:hAnsi="宋体" w:eastAsia="宋体" w:cs="宋体"/>
          <w:sz w:val="21"/>
          <w:szCs w:val="21"/>
        </w:rPr>
        <w:t>7、原材料验收由甲方监督人员、餐厅管理人员、乙方配送人员三方，现场对食品配送质量的验收和数量的核对，每个品种的重量以双方核准的净重过磅数为准，三方签字确认作为结算凭证。</w:t>
      </w:r>
    </w:p>
    <w:p w14:paraId="7AA471C0">
      <w:pPr>
        <w:pStyle w:val="25"/>
        <w:spacing w:before="156" w:beforeLines="50" w:after="156" w:afterLines="50" w:line="360" w:lineRule="auto"/>
        <w:ind w:firstLine="500" w:firstLineChars="166"/>
        <w:rPr>
          <w:rFonts w:hint="eastAsia" w:ascii="宋体" w:hAnsi="宋体" w:eastAsia="宋体" w:cs="宋体"/>
          <w:b/>
          <w:sz w:val="30"/>
          <w:szCs w:val="30"/>
        </w:rPr>
      </w:pPr>
      <w:r>
        <w:rPr>
          <w:rFonts w:hint="eastAsia" w:ascii="宋体" w:hAnsi="宋体" w:eastAsia="宋体" w:cs="宋体"/>
          <w:b/>
          <w:sz w:val="30"/>
          <w:szCs w:val="30"/>
        </w:rPr>
        <w:t>第九条 售后服务</w:t>
      </w:r>
    </w:p>
    <w:p w14:paraId="1E75CF2F">
      <w:pPr>
        <w:pStyle w:val="25"/>
        <w:spacing w:line="360" w:lineRule="auto"/>
        <w:ind w:firstLine="420"/>
        <w:rPr>
          <w:rFonts w:hint="eastAsia" w:ascii="宋体" w:hAnsi="宋体" w:eastAsia="宋体" w:cs="宋体"/>
          <w:kern w:val="0"/>
          <w:sz w:val="21"/>
          <w:szCs w:val="21"/>
        </w:rPr>
      </w:pPr>
      <w:r>
        <w:rPr>
          <w:rFonts w:hint="eastAsia" w:ascii="宋体" w:hAnsi="宋体" w:eastAsia="宋体" w:cs="宋体"/>
          <w:kern w:val="0"/>
          <w:sz w:val="21"/>
          <w:szCs w:val="21"/>
        </w:rPr>
        <w:t>乙方应按照国家有关法律法规和“三包”规定以及磋商文件要求和响应文件的“服务承诺”提供服务。</w:t>
      </w:r>
    </w:p>
    <w:p w14:paraId="1B9DBEEF">
      <w:pPr>
        <w:pStyle w:val="25"/>
        <w:spacing w:before="156" w:beforeLines="50" w:after="156" w:afterLines="50" w:line="360" w:lineRule="auto"/>
        <w:ind w:firstLine="500" w:firstLineChars="166"/>
        <w:rPr>
          <w:rFonts w:hint="eastAsia" w:ascii="宋体" w:hAnsi="宋体" w:eastAsia="宋体" w:cs="宋体"/>
          <w:sz w:val="30"/>
          <w:szCs w:val="30"/>
        </w:rPr>
      </w:pPr>
      <w:r>
        <w:rPr>
          <w:rFonts w:hint="eastAsia" w:ascii="宋体" w:hAnsi="宋体" w:eastAsia="宋体" w:cs="宋体"/>
          <w:b/>
          <w:sz w:val="30"/>
          <w:szCs w:val="30"/>
        </w:rPr>
        <w:t>第十条 违约责任</w:t>
      </w:r>
    </w:p>
    <w:p w14:paraId="362133AC">
      <w:pPr>
        <w:pStyle w:val="25"/>
        <w:spacing w:line="360" w:lineRule="auto"/>
        <w:ind w:firstLine="525" w:firstLineChars="250"/>
        <w:rPr>
          <w:rFonts w:hint="eastAsia" w:ascii="宋体" w:hAnsi="宋体" w:eastAsia="宋体" w:cs="宋体"/>
          <w:sz w:val="21"/>
          <w:szCs w:val="21"/>
        </w:rPr>
      </w:pPr>
      <w:r>
        <w:rPr>
          <w:rFonts w:hint="eastAsia" w:ascii="宋体" w:hAnsi="宋体" w:eastAsia="宋体" w:cs="宋体"/>
          <w:sz w:val="21"/>
          <w:szCs w:val="21"/>
        </w:rPr>
        <w:t>1.甲方违约责任</w:t>
      </w:r>
    </w:p>
    <w:p w14:paraId="4139B6D5">
      <w:pPr>
        <w:pStyle w:val="25"/>
        <w:spacing w:line="360" w:lineRule="auto"/>
        <w:ind w:firstLine="359" w:firstLineChars="171"/>
        <w:rPr>
          <w:rFonts w:hint="eastAsia" w:ascii="宋体" w:hAnsi="宋体" w:eastAsia="宋体" w:cs="宋体"/>
          <w:sz w:val="21"/>
          <w:szCs w:val="21"/>
        </w:rPr>
      </w:pPr>
      <w:r>
        <w:rPr>
          <w:rFonts w:hint="eastAsia" w:ascii="宋体" w:hAnsi="宋体" w:eastAsia="宋体" w:cs="宋体"/>
          <w:sz w:val="21"/>
          <w:szCs w:val="21"/>
        </w:rPr>
        <w:t>（1）甲方无正当理由拒收货物的，甲方应偿付当期配送总价</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10</w:t>
      </w:r>
      <w:r>
        <w:rPr>
          <w:rFonts w:hint="eastAsia" w:ascii="宋体" w:hAnsi="宋体" w:eastAsia="宋体" w:cs="宋体"/>
          <w:sz w:val="21"/>
          <w:szCs w:val="21"/>
        </w:rPr>
        <w:t xml:space="preserve"> %的违约金；</w:t>
      </w:r>
    </w:p>
    <w:p w14:paraId="7E79BA1B">
      <w:pPr>
        <w:pStyle w:val="25"/>
        <w:spacing w:line="360" w:lineRule="auto"/>
        <w:ind w:firstLine="359" w:firstLineChars="171"/>
        <w:rPr>
          <w:rFonts w:hint="eastAsia" w:ascii="宋体" w:hAnsi="宋体" w:eastAsia="宋体" w:cs="宋体"/>
          <w:sz w:val="21"/>
          <w:szCs w:val="21"/>
        </w:rPr>
      </w:pPr>
      <w:r>
        <w:rPr>
          <w:rFonts w:hint="eastAsia" w:ascii="宋体" w:hAnsi="宋体" w:eastAsia="宋体" w:cs="宋体"/>
          <w:sz w:val="21"/>
          <w:szCs w:val="21"/>
        </w:rPr>
        <w:t>（2）甲方逾期支付货款的，除应及时付足货款外，应向乙方每天支付欠款总额</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5</w:t>
      </w:r>
      <w:r>
        <w:rPr>
          <w:rFonts w:hint="eastAsia" w:ascii="宋体" w:hAnsi="宋体" w:eastAsia="宋体" w:cs="宋体"/>
          <w:sz w:val="21"/>
          <w:szCs w:val="21"/>
        </w:rPr>
        <w:t xml:space="preserve"> ‰的滞纳金；但累计滞纳金总额不超过欠款总额的</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10</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14:paraId="7621B63D">
      <w:pPr>
        <w:pStyle w:val="25"/>
        <w:spacing w:line="360" w:lineRule="auto"/>
        <w:ind w:firstLine="525" w:firstLineChars="250"/>
        <w:rPr>
          <w:rFonts w:hint="eastAsia" w:ascii="宋体" w:hAnsi="宋体" w:eastAsia="宋体" w:cs="宋体"/>
          <w:sz w:val="21"/>
          <w:szCs w:val="21"/>
        </w:rPr>
      </w:pPr>
      <w:r>
        <w:rPr>
          <w:rFonts w:hint="eastAsia" w:ascii="宋体" w:hAnsi="宋体" w:eastAsia="宋体" w:cs="宋体"/>
          <w:sz w:val="21"/>
          <w:szCs w:val="21"/>
        </w:rPr>
        <w:t>2.乙方违约责任</w:t>
      </w:r>
    </w:p>
    <w:p w14:paraId="49CAA3F4">
      <w:pPr>
        <w:widowControl/>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（1）如乙方不能交付货物，乙方应</w:t>
      </w:r>
      <w:r>
        <w:rPr>
          <w:rFonts w:hint="eastAsia" w:ascii="宋体" w:hAnsi="宋体" w:eastAsia="宋体" w:cs="宋体"/>
          <w:kern w:val="0"/>
          <w:szCs w:val="21"/>
          <w:highlight w:val="none"/>
        </w:rPr>
        <w:t>向甲方支付当日配送总价的30％的违约金；</w:t>
      </w:r>
    </w:p>
    <w:p w14:paraId="5E560FAD">
      <w:pPr>
        <w:widowControl/>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 xml:space="preserve">（2）乙方所交付的货物品种、型号、规格不符合合同规定的，甲方有权拒收。甲方拒收的，乙方应当按照甲方要求期限及时补送，逾期仍未交付合格物品的，乙方应向甲方支付当日配送总价 </w:t>
      </w:r>
      <w:r>
        <w:rPr>
          <w:rFonts w:hint="eastAsia" w:ascii="宋体" w:hAnsi="宋体" w:eastAsia="宋体" w:cs="宋体"/>
          <w:kern w:val="0"/>
          <w:szCs w:val="21"/>
          <w:u w:val="single"/>
        </w:rPr>
        <w:t xml:space="preserve">   30  </w:t>
      </w:r>
      <w:r>
        <w:rPr>
          <w:rFonts w:hint="eastAsia" w:ascii="宋体" w:hAnsi="宋体" w:eastAsia="宋体" w:cs="宋体"/>
          <w:kern w:val="0"/>
          <w:szCs w:val="21"/>
        </w:rPr>
        <w:t>%的违约金；</w:t>
      </w:r>
    </w:p>
    <w:p w14:paraId="738761C5">
      <w:pPr>
        <w:pStyle w:val="2"/>
        <w:widowControl/>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rPr>
        <w:t>（3）如因乙方交付的物品存在食品安全质量问题，导致甲方、甲方人员或任何第三方产生身体损害的、出现食品安全类事故的，由乙方承担全部责任，甲方有权解除合同。若因此导致甲方承担任何责任的，甲方有权向乙方追偿全部损失（包含甲方直接支付的事故赔偿款、利息、甲方因追偿产生的律师费、诉讼费、交通差旅费等全部费用）</w:t>
      </w:r>
    </w:p>
    <w:p w14:paraId="5F9BA7EB">
      <w:pPr>
        <w:pStyle w:val="25"/>
        <w:spacing w:line="360" w:lineRule="auto"/>
        <w:ind w:firstLine="420"/>
        <w:rPr>
          <w:rFonts w:hint="eastAsia" w:ascii="宋体" w:hAnsi="宋体" w:eastAsia="宋体" w:cs="宋体"/>
          <w:sz w:val="21"/>
          <w:szCs w:val="21"/>
        </w:rPr>
      </w:pPr>
      <w:r>
        <w:rPr>
          <w:rFonts w:hint="eastAsia" w:ascii="宋体" w:hAnsi="宋体" w:eastAsia="宋体" w:cs="宋体"/>
          <w:sz w:val="21"/>
          <w:szCs w:val="21"/>
        </w:rPr>
        <w:t>（4）乙方交付食品质量、数量不合格超过3次的，或无正当理由未按时给甲方送达超过3次的，甲方有权解除本合同，并要求乙方按照甲方已付款金额的30%承担违约金。</w:t>
      </w:r>
    </w:p>
    <w:p w14:paraId="7F4127A2">
      <w:pPr>
        <w:pStyle w:val="25"/>
        <w:spacing w:line="360" w:lineRule="auto"/>
        <w:ind w:firstLine="420"/>
        <w:rPr>
          <w:rFonts w:hint="eastAsia" w:ascii="宋体" w:hAnsi="宋体" w:eastAsia="宋体" w:cs="宋体"/>
          <w:kern w:val="0"/>
          <w:sz w:val="21"/>
          <w:szCs w:val="21"/>
        </w:rPr>
      </w:pPr>
      <w:r>
        <w:rPr>
          <w:rFonts w:hint="eastAsia" w:ascii="宋体" w:hAnsi="宋体" w:eastAsia="宋体" w:cs="宋体"/>
          <w:kern w:val="0"/>
          <w:sz w:val="21"/>
          <w:szCs w:val="21"/>
        </w:rPr>
        <w:t>（5）乙方未按本合同的规定和“服务承诺”提供伴随服务/售后服务的，应按合同总价款的</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u w:val="single"/>
          <w:lang w:val="en-US" w:eastAsia="zh-CN"/>
        </w:rPr>
        <w:t>20</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%向甲方承担违约责任；</w:t>
      </w:r>
    </w:p>
    <w:p w14:paraId="474E4059">
      <w:pPr>
        <w:pStyle w:val="25"/>
        <w:spacing w:line="360" w:lineRule="auto"/>
        <w:ind w:firstLine="420"/>
        <w:rPr>
          <w:rFonts w:hint="eastAsia" w:ascii="宋体" w:hAnsi="宋体" w:eastAsia="宋体" w:cs="宋体"/>
          <w:kern w:val="0"/>
          <w:sz w:val="21"/>
          <w:szCs w:val="21"/>
        </w:rPr>
      </w:pPr>
      <w:r>
        <w:rPr>
          <w:rFonts w:hint="eastAsia" w:ascii="宋体" w:hAnsi="宋体" w:eastAsia="宋体" w:cs="宋体"/>
          <w:kern w:val="0"/>
          <w:sz w:val="21"/>
          <w:szCs w:val="21"/>
        </w:rPr>
        <w:t>（6）乙方在承担上述1-5款一项或多项违约责任后，仍应继续履行合同规定的义务（甲方解除合同的除外）。甲方未能及时追究乙方的任何一项违约责任并不表明甲方放弃追究乙方该项或其他违约责任；</w:t>
      </w:r>
    </w:p>
    <w:p w14:paraId="0CCA24E1">
      <w:pPr>
        <w:pStyle w:val="25"/>
        <w:spacing w:line="360" w:lineRule="auto"/>
        <w:ind w:firstLine="420"/>
        <w:rPr>
          <w:rFonts w:hint="eastAsia" w:ascii="宋体" w:hAnsi="宋体" w:eastAsia="宋体" w:cs="宋体"/>
          <w:sz w:val="21"/>
          <w:szCs w:val="21"/>
        </w:rPr>
      </w:pPr>
      <w:r>
        <w:rPr>
          <w:rFonts w:hint="eastAsia" w:ascii="宋体" w:hAnsi="宋体" w:eastAsia="宋体" w:cs="宋体"/>
          <w:sz w:val="21"/>
          <w:szCs w:val="21"/>
        </w:rPr>
        <w:t>（7）乙方偿付的违约金不足以弥补甲方损失的，还应按甲方损失尚未弥补的部分，支付赔偿金给甲方。</w:t>
      </w:r>
    </w:p>
    <w:p w14:paraId="02ACE9C8">
      <w:pPr>
        <w:widowControl/>
        <w:spacing w:before="156" w:beforeLines="50" w:after="156" w:afterLines="50" w:line="360" w:lineRule="auto"/>
        <w:ind w:firstLine="452" w:firstLineChars="150"/>
        <w:jc w:val="left"/>
        <w:rPr>
          <w:rFonts w:hint="eastAsia" w:ascii="宋体" w:hAnsi="宋体" w:eastAsia="宋体" w:cs="宋体"/>
          <w:kern w:val="0"/>
          <w:sz w:val="30"/>
          <w:szCs w:val="30"/>
        </w:rPr>
      </w:pPr>
      <w:r>
        <w:rPr>
          <w:rFonts w:hint="eastAsia" w:ascii="宋体" w:hAnsi="宋体" w:eastAsia="宋体" w:cs="宋体"/>
          <w:b/>
          <w:sz w:val="30"/>
          <w:szCs w:val="30"/>
        </w:rPr>
        <w:t xml:space="preserve">第十一条 </w:t>
      </w:r>
      <w:r>
        <w:rPr>
          <w:rFonts w:hint="eastAsia" w:ascii="宋体" w:hAnsi="宋体" w:eastAsia="宋体" w:cs="宋体"/>
          <w:b/>
          <w:kern w:val="0"/>
          <w:sz w:val="30"/>
          <w:szCs w:val="30"/>
        </w:rPr>
        <w:t>合同的变更和终止</w:t>
      </w:r>
    </w:p>
    <w:p w14:paraId="4BFE9D8B">
      <w:pPr>
        <w:widowControl/>
        <w:spacing w:line="360"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除《中华人民共和国政府采购法》第49条、第50条第二款规定的情形外，本合同一经签订，甲乙双方不得擅自变更、中止或终止合同。</w:t>
      </w:r>
    </w:p>
    <w:p w14:paraId="0D3DB379">
      <w:pPr>
        <w:widowControl/>
        <w:spacing w:before="156" w:beforeLines="50" w:after="156" w:afterLines="50" w:line="360" w:lineRule="auto"/>
        <w:ind w:firstLine="452" w:firstLineChars="150"/>
        <w:jc w:val="left"/>
        <w:rPr>
          <w:rFonts w:hint="eastAsia" w:ascii="宋体" w:hAnsi="宋体" w:eastAsia="宋体" w:cs="宋体"/>
          <w:b/>
          <w:kern w:val="0"/>
          <w:sz w:val="30"/>
          <w:szCs w:val="30"/>
        </w:rPr>
      </w:pPr>
      <w:r>
        <w:rPr>
          <w:rFonts w:hint="eastAsia" w:ascii="宋体" w:hAnsi="宋体" w:eastAsia="宋体" w:cs="宋体"/>
          <w:b/>
          <w:kern w:val="0"/>
          <w:sz w:val="30"/>
          <w:szCs w:val="30"/>
        </w:rPr>
        <w:t>第十二条 争议的解决</w:t>
      </w:r>
    </w:p>
    <w:p w14:paraId="34176BF9">
      <w:pPr>
        <w:pStyle w:val="25"/>
        <w:spacing w:line="360" w:lineRule="auto"/>
        <w:ind w:firstLine="420"/>
        <w:rPr>
          <w:rFonts w:hint="eastAsia" w:ascii="宋体" w:hAnsi="宋体" w:eastAsia="宋体" w:cs="宋体"/>
          <w:sz w:val="21"/>
          <w:szCs w:val="21"/>
        </w:rPr>
      </w:pPr>
      <w:r>
        <w:rPr>
          <w:rFonts w:hint="eastAsia" w:ascii="宋体" w:hAnsi="宋体" w:eastAsia="宋体" w:cs="宋体"/>
          <w:sz w:val="21"/>
          <w:szCs w:val="21"/>
        </w:rPr>
        <w:t>1.因货物的质量问题发生争议，由质量技术监督部门或其指定的质量鉴定机构进行质量鉴定。货物符合标准的，鉴定费由甲方承担；货物不符合质量标准的，鉴定费由乙方承担。</w:t>
      </w:r>
    </w:p>
    <w:p w14:paraId="1B8B13E1">
      <w:pPr>
        <w:pStyle w:val="25"/>
        <w:spacing w:line="360" w:lineRule="auto"/>
        <w:ind w:firstLine="420"/>
        <w:rPr>
          <w:rFonts w:hint="eastAsia" w:ascii="宋体" w:hAnsi="宋体" w:eastAsia="宋体" w:cs="宋体"/>
          <w:kern w:val="0"/>
          <w:sz w:val="21"/>
          <w:szCs w:val="21"/>
        </w:rPr>
      </w:pPr>
      <w:r>
        <w:rPr>
          <w:rFonts w:hint="eastAsia" w:ascii="宋体" w:hAnsi="宋体" w:eastAsia="宋体" w:cs="宋体"/>
          <w:kern w:val="0"/>
          <w:sz w:val="21"/>
          <w:szCs w:val="21"/>
        </w:rPr>
        <w:t>2.因履行本合同引起的或与本合同有关的争议，甲、乙双方应首先通过友好协商解决，如果协商不成，则采取以下第2种方式解决争议：</w:t>
      </w:r>
    </w:p>
    <w:p w14:paraId="271DD04F">
      <w:pPr>
        <w:pStyle w:val="25"/>
        <w:spacing w:line="360" w:lineRule="auto"/>
        <w:ind w:firstLine="420"/>
        <w:rPr>
          <w:rFonts w:hint="eastAsia" w:ascii="宋体" w:hAnsi="宋体" w:eastAsia="宋体" w:cs="宋体"/>
          <w:kern w:val="0"/>
          <w:sz w:val="21"/>
          <w:szCs w:val="21"/>
        </w:rPr>
      </w:pPr>
      <w:r>
        <w:rPr>
          <w:rFonts w:hint="eastAsia" w:ascii="宋体" w:hAnsi="宋体" w:eastAsia="宋体" w:cs="宋体"/>
          <w:kern w:val="0"/>
          <w:sz w:val="21"/>
          <w:szCs w:val="21"/>
        </w:rPr>
        <w:t>（1）向甲方所在地有管辖权的人民法院提起诉讼；</w:t>
      </w:r>
    </w:p>
    <w:p w14:paraId="6A7F9704">
      <w:pPr>
        <w:pStyle w:val="25"/>
        <w:spacing w:line="360" w:lineRule="auto"/>
        <w:ind w:firstLine="420"/>
        <w:rPr>
          <w:rFonts w:hint="eastAsia" w:ascii="宋体" w:hAnsi="宋体" w:eastAsia="宋体" w:cs="宋体"/>
          <w:kern w:val="0"/>
          <w:sz w:val="21"/>
          <w:szCs w:val="21"/>
        </w:rPr>
      </w:pPr>
      <w:r>
        <w:rPr>
          <w:rFonts w:hint="eastAsia" w:ascii="宋体" w:hAnsi="宋体" w:eastAsia="宋体" w:cs="宋体"/>
          <w:kern w:val="0"/>
          <w:sz w:val="21"/>
          <w:szCs w:val="21"/>
        </w:rPr>
        <w:t>（2）向西安仲裁委员会按其仲裁规则申请仲裁。</w:t>
      </w:r>
    </w:p>
    <w:p w14:paraId="27808065">
      <w:pPr>
        <w:snapToGrid w:val="0"/>
        <w:spacing w:before="156" w:beforeLines="50" w:after="156" w:afterLines="50" w:line="360" w:lineRule="auto"/>
        <w:ind w:firstLine="602" w:firstLineChars="200"/>
        <w:textAlignment w:val="baseline"/>
        <w:rPr>
          <w:rFonts w:hint="eastAsia" w:ascii="宋体" w:hAnsi="宋体" w:eastAsia="宋体" w:cs="宋体"/>
          <w:b/>
          <w:sz w:val="30"/>
          <w:szCs w:val="30"/>
        </w:rPr>
      </w:pPr>
      <w:r>
        <w:rPr>
          <w:rFonts w:hint="eastAsia" w:ascii="宋体" w:hAnsi="宋体" w:eastAsia="宋体" w:cs="宋体"/>
          <w:b/>
          <w:sz w:val="30"/>
          <w:szCs w:val="30"/>
        </w:rPr>
        <w:t>第十三条</w:t>
      </w:r>
      <w:r>
        <w:rPr>
          <w:rFonts w:hint="eastAsia" w:ascii="宋体" w:hAnsi="宋体" w:eastAsia="宋体" w:cs="宋体"/>
          <w:sz w:val="30"/>
          <w:szCs w:val="30"/>
        </w:rPr>
        <w:t xml:space="preserve"> </w:t>
      </w:r>
      <w:r>
        <w:rPr>
          <w:rFonts w:hint="eastAsia" w:ascii="宋体" w:hAnsi="宋体" w:eastAsia="宋体" w:cs="宋体"/>
          <w:b/>
          <w:sz w:val="30"/>
          <w:szCs w:val="30"/>
        </w:rPr>
        <w:t>合同文件</w:t>
      </w:r>
    </w:p>
    <w:p w14:paraId="30B0F941">
      <w:pPr>
        <w:snapToGrid w:val="0"/>
        <w:spacing w:before="156" w:beforeLines="50" w:after="156" w:afterLines="50" w:line="360" w:lineRule="auto"/>
        <w:ind w:firstLine="420" w:firstLineChars="200"/>
        <w:textAlignment w:val="baseline"/>
        <w:rPr>
          <w:rFonts w:hint="eastAsia" w:ascii="宋体" w:hAnsi="宋体" w:eastAsia="宋体" w:cs="宋体"/>
          <w:szCs w:val="21"/>
        </w:rPr>
      </w:pPr>
      <w:r>
        <w:rPr>
          <w:rFonts w:hint="eastAsia" w:ascii="宋体" w:hAnsi="宋体" w:eastAsia="宋体" w:cs="宋体"/>
          <w:szCs w:val="21"/>
        </w:rPr>
        <w:t>详细技术说明及其他有关合同项目的特定信息由合同附件予以说明，下列文件构成本合同的组成部分，应该认为是一个整体，彼此相互解释，相互补充。组成合同的多个文件的优先支配地位的次序如下：</w:t>
      </w:r>
    </w:p>
    <w:p w14:paraId="0AD12EFA">
      <w:pPr>
        <w:snapToGrid w:val="0"/>
        <w:spacing w:line="360" w:lineRule="auto"/>
        <w:ind w:firstLine="539"/>
        <w:rPr>
          <w:rFonts w:hint="eastAsia" w:ascii="宋体" w:hAnsi="宋体" w:eastAsia="宋体" w:cs="宋体"/>
          <w:szCs w:val="21"/>
        </w:rPr>
      </w:pPr>
      <w:r>
        <w:rPr>
          <w:rFonts w:hint="eastAsia" w:ascii="宋体" w:hAnsi="宋体" w:eastAsia="宋体" w:cs="宋体"/>
          <w:szCs w:val="21"/>
        </w:rPr>
        <w:t>1.本合同书</w:t>
      </w:r>
    </w:p>
    <w:p w14:paraId="567CD6CD">
      <w:pPr>
        <w:snapToGrid w:val="0"/>
        <w:spacing w:line="360" w:lineRule="auto"/>
        <w:ind w:firstLine="539"/>
        <w:rPr>
          <w:rFonts w:hint="eastAsia" w:ascii="宋体" w:hAnsi="宋体" w:eastAsia="宋体" w:cs="宋体"/>
          <w:szCs w:val="21"/>
        </w:rPr>
      </w:pPr>
      <w:r>
        <w:rPr>
          <w:rFonts w:hint="eastAsia" w:ascii="宋体" w:hAnsi="宋体" w:eastAsia="宋体" w:cs="宋体"/>
          <w:szCs w:val="21"/>
        </w:rPr>
        <w:t>2.成交通知书</w:t>
      </w:r>
      <w:r>
        <w:rPr>
          <w:rFonts w:hint="eastAsia" w:ascii="宋体" w:hAnsi="宋体" w:eastAsia="宋体" w:cs="宋体"/>
          <w:szCs w:val="21"/>
        </w:rPr>
        <w:tab/>
      </w:r>
    </w:p>
    <w:p w14:paraId="4B3E72DC">
      <w:pPr>
        <w:snapToGrid w:val="0"/>
        <w:spacing w:line="360" w:lineRule="auto"/>
        <w:ind w:firstLine="539"/>
        <w:rPr>
          <w:rFonts w:hint="eastAsia" w:ascii="宋体" w:hAnsi="宋体" w:eastAsia="宋体" w:cs="宋体"/>
          <w:szCs w:val="21"/>
        </w:rPr>
      </w:pPr>
      <w:r>
        <w:rPr>
          <w:rFonts w:hint="eastAsia" w:ascii="宋体" w:hAnsi="宋体" w:eastAsia="宋体" w:cs="宋体"/>
          <w:szCs w:val="21"/>
        </w:rPr>
        <w:t>3.协议</w:t>
      </w:r>
    </w:p>
    <w:p w14:paraId="1D5C267D">
      <w:pPr>
        <w:snapToGrid w:val="0"/>
        <w:spacing w:line="360" w:lineRule="auto"/>
        <w:ind w:firstLine="539"/>
        <w:rPr>
          <w:rFonts w:hint="eastAsia" w:ascii="宋体" w:hAnsi="宋体" w:eastAsia="宋体" w:cs="宋体"/>
          <w:szCs w:val="21"/>
        </w:rPr>
      </w:pPr>
      <w:r>
        <w:rPr>
          <w:rFonts w:hint="eastAsia" w:ascii="宋体" w:hAnsi="宋体" w:eastAsia="宋体" w:cs="宋体"/>
          <w:szCs w:val="21"/>
        </w:rPr>
        <w:t>4.磋商文件(含澄清或者修改文件)</w:t>
      </w:r>
    </w:p>
    <w:p w14:paraId="0245A0A1">
      <w:pPr>
        <w:snapToGrid w:val="0"/>
        <w:spacing w:line="360" w:lineRule="auto"/>
        <w:ind w:firstLine="539"/>
        <w:rPr>
          <w:rFonts w:hint="eastAsia" w:ascii="宋体" w:hAnsi="宋体" w:eastAsia="宋体" w:cs="宋体"/>
          <w:szCs w:val="21"/>
        </w:rPr>
      </w:pPr>
      <w:r>
        <w:rPr>
          <w:rFonts w:hint="eastAsia" w:ascii="宋体" w:hAnsi="宋体" w:eastAsia="宋体" w:cs="宋体"/>
          <w:szCs w:val="21"/>
        </w:rPr>
        <w:t>5.响应文件</w:t>
      </w:r>
    </w:p>
    <w:p w14:paraId="1CF343B8">
      <w:pPr>
        <w:snapToGrid w:val="0"/>
        <w:spacing w:before="156" w:beforeLines="50" w:after="156" w:afterLines="50" w:line="360" w:lineRule="auto"/>
        <w:ind w:firstLine="452" w:firstLineChars="150"/>
        <w:rPr>
          <w:rFonts w:hint="eastAsia" w:ascii="宋体" w:hAnsi="宋体" w:eastAsia="宋体" w:cs="宋体"/>
          <w:b/>
          <w:kern w:val="0"/>
          <w:sz w:val="30"/>
          <w:szCs w:val="30"/>
        </w:rPr>
      </w:pPr>
      <w:r>
        <w:rPr>
          <w:rFonts w:hint="eastAsia" w:ascii="宋体" w:hAnsi="宋体" w:eastAsia="宋体" w:cs="宋体"/>
          <w:b/>
          <w:sz w:val="30"/>
          <w:szCs w:val="30"/>
        </w:rPr>
        <w:t xml:space="preserve">第十四条 </w:t>
      </w:r>
      <w:r>
        <w:rPr>
          <w:rFonts w:hint="eastAsia" w:ascii="宋体" w:hAnsi="宋体" w:eastAsia="宋体" w:cs="宋体"/>
          <w:b/>
          <w:kern w:val="0"/>
          <w:sz w:val="30"/>
          <w:szCs w:val="30"/>
        </w:rPr>
        <w:t>合同生效及其他</w:t>
      </w:r>
    </w:p>
    <w:p w14:paraId="0654CDDE">
      <w:pPr>
        <w:snapToGrid w:val="0"/>
        <w:spacing w:line="360" w:lineRule="auto"/>
        <w:ind w:firstLine="539"/>
        <w:rPr>
          <w:rFonts w:hint="eastAsia" w:ascii="宋体" w:hAnsi="宋体" w:eastAsia="宋体" w:cs="宋体"/>
          <w:szCs w:val="21"/>
        </w:rPr>
      </w:pPr>
      <w:r>
        <w:rPr>
          <w:rFonts w:hint="eastAsia" w:ascii="宋体" w:hAnsi="宋体" w:eastAsia="宋体" w:cs="宋体"/>
          <w:kern w:val="0"/>
          <w:szCs w:val="21"/>
        </w:rPr>
        <w:t>1.</w:t>
      </w:r>
      <w:r>
        <w:rPr>
          <w:rFonts w:hint="eastAsia" w:ascii="宋体" w:hAnsi="宋体" w:eastAsia="宋体" w:cs="宋体"/>
          <w:szCs w:val="21"/>
        </w:rPr>
        <w:t>如有未尽事宜，由双方依法订立补充合同。</w:t>
      </w:r>
    </w:p>
    <w:p w14:paraId="2C971C09">
      <w:pPr>
        <w:snapToGrid w:val="0"/>
        <w:spacing w:line="360" w:lineRule="auto"/>
        <w:ind w:firstLine="539"/>
        <w:rPr>
          <w:rFonts w:hint="eastAsia" w:ascii="宋体" w:hAnsi="宋体" w:eastAsia="宋体" w:cs="宋体"/>
          <w:kern w:val="0"/>
          <w:szCs w:val="21"/>
        </w:rPr>
      </w:pPr>
      <w:r>
        <w:rPr>
          <w:rFonts w:hint="eastAsia" w:ascii="宋体" w:hAnsi="宋体" w:eastAsia="宋体" w:cs="宋体"/>
          <w:kern w:val="0"/>
          <w:szCs w:val="21"/>
        </w:rPr>
        <w:t>2.本合同自双签字盖章之日起生效。</w:t>
      </w:r>
    </w:p>
    <w:p w14:paraId="30178DF9">
      <w:pPr>
        <w:snapToGrid w:val="0"/>
        <w:spacing w:line="360" w:lineRule="auto"/>
        <w:ind w:firstLine="539"/>
        <w:rPr>
          <w:rFonts w:hint="eastAsia" w:ascii="宋体" w:hAnsi="宋体" w:eastAsia="宋体" w:cs="宋体"/>
          <w:szCs w:val="21"/>
        </w:rPr>
      </w:pPr>
      <w:r>
        <w:rPr>
          <w:rFonts w:hint="eastAsia" w:ascii="宋体" w:hAnsi="宋体" w:eastAsia="宋体" w:cs="宋体"/>
          <w:kern w:val="0"/>
          <w:szCs w:val="21"/>
        </w:rPr>
        <w:t>3.本合同一式</w:t>
      </w:r>
      <w:r>
        <w:rPr>
          <w:rFonts w:hint="eastAsia" w:ascii="宋体" w:hAnsi="宋体" w:eastAsia="宋体" w:cs="宋体"/>
          <w:kern w:val="0"/>
          <w:szCs w:val="21"/>
          <w:lang w:val="en-US" w:eastAsia="zh-CN"/>
        </w:rPr>
        <w:t>陆</w:t>
      </w:r>
      <w:r>
        <w:rPr>
          <w:rFonts w:hint="eastAsia" w:ascii="宋体" w:hAnsi="宋体" w:eastAsia="宋体" w:cs="宋体"/>
          <w:kern w:val="0"/>
          <w:szCs w:val="21"/>
        </w:rPr>
        <w:t>份，具有同等法律效力，甲乙双方各执</w:t>
      </w:r>
      <w:r>
        <w:rPr>
          <w:rFonts w:hint="eastAsia" w:ascii="宋体" w:hAnsi="宋体" w:eastAsia="宋体" w:cs="宋体"/>
          <w:kern w:val="0"/>
          <w:szCs w:val="21"/>
          <w:lang w:val="en-US" w:eastAsia="zh-CN"/>
        </w:rPr>
        <w:t>两</w:t>
      </w:r>
      <w:r>
        <w:rPr>
          <w:rFonts w:hint="eastAsia" w:ascii="宋体" w:hAnsi="宋体" w:eastAsia="宋体" w:cs="宋体"/>
          <w:kern w:val="0"/>
          <w:szCs w:val="21"/>
        </w:rPr>
        <w:t>份，</w:t>
      </w:r>
      <w:r>
        <w:rPr>
          <w:rFonts w:hint="eastAsia" w:ascii="宋体" w:hAnsi="宋体" w:eastAsia="宋体" w:cs="宋体"/>
          <w:kern w:val="0"/>
          <w:szCs w:val="21"/>
          <w:lang w:val="en-US" w:eastAsia="zh-CN"/>
        </w:rPr>
        <w:t>壹</w:t>
      </w:r>
      <w:r>
        <w:rPr>
          <w:rFonts w:hint="eastAsia" w:ascii="宋体" w:hAnsi="宋体" w:eastAsia="宋体" w:cs="宋体"/>
          <w:kern w:val="0"/>
          <w:szCs w:val="21"/>
        </w:rPr>
        <w:t>份报送政府采购监督管理部门备案，一份采购代理机构存档。</w:t>
      </w:r>
    </w:p>
    <w:p w14:paraId="60E1E953">
      <w:pPr>
        <w:spacing w:line="360" w:lineRule="auto"/>
        <w:ind w:firstLine="420" w:firstLineChars="200"/>
        <w:rPr>
          <w:rFonts w:hint="eastAsia" w:ascii="宋体" w:hAnsi="宋体" w:eastAsia="宋体" w:cs="宋体"/>
          <w:szCs w:val="21"/>
        </w:rPr>
      </w:pPr>
    </w:p>
    <w:p w14:paraId="63815418">
      <w:pPr>
        <w:spacing w:line="360" w:lineRule="auto"/>
        <w:ind w:firstLine="420" w:firstLineChars="200"/>
        <w:rPr>
          <w:rFonts w:hint="eastAsia" w:ascii="宋体" w:hAnsi="宋体" w:eastAsia="宋体" w:cs="宋体"/>
          <w:szCs w:val="21"/>
        </w:rPr>
      </w:pPr>
    </w:p>
    <w:p w14:paraId="03C157FF">
      <w:pPr>
        <w:spacing w:before="156" w:beforeLines="50" w:after="156" w:afterLines="50" w:line="360" w:lineRule="auto"/>
        <w:ind w:firstLine="420" w:firstLineChars="200"/>
        <w:rPr>
          <w:rFonts w:hint="eastAsia" w:ascii="宋体" w:hAnsi="宋体" w:eastAsia="宋体" w:cs="宋体"/>
          <w:szCs w:val="21"/>
        </w:rPr>
      </w:pPr>
    </w:p>
    <w:p w14:paraId="5A1A6FE1">
      <w:pPr>
        <w:spacing w:before="156" w:beforeLines="50" w:after="156" w:afterLines="50" w:line="360" w:lineRule="auto"/>
        <w:ind w:firstLine="420" w:firstLineChars="200"/>
        <w:rPr>
          <w:rFonts w:hint="eastAsia" w:ascii="宋体" w:hAnsi="宋体" w:eastAsia="宋体" w:cs="宋体"/>
          <w:szCs w:val="21"/>
        </w:rPr>
      </w:pPr>
      <w:r>
        <w:rPr>
          <w:rFonts w:hint="eastAsia" w:ascii="宋体" w:hAnsi="宋体" w:eastAsia="宋体" w:cs="宋体"/>
          <w:szCs w:val="21"/>
        </w:rPr>
        <w:t xml:space="preserve">甲方：   （盖章）   </w:t>
      </w:r>
      <w:r>
        <w:rPr>
          <w:rFonts w:hint="eastAsia" w:ascii="宋体" w:hAnsi="宋体" w:eastAsia="宋体" w:cs="宋体"/>
          <w:szCs w:val="21"/>
        </w:rPr>
        <w:tab/>
      </w:r>
      <w:r>
        <w:rPr>
          <w:rFonts w:hint="eastAsia" w:ascii="宋体" w:hAnsi="宋体" w:eastAsia="宋体" w:cs="宋体"/>
          <w:szCs w:val="21"/>
        </w:rPr>
        <w:tab/>
      </w:r>
      <w:r>
        <w:rPr>
          <w:rFonts w:hint="eastAsia" w:ascii="宋体" w:hAnsi="宋体" w:eastAsia="宋体" w:cs="宋体"/>
          <w:szCs w:val="21"/>
        </w:rPr>
        <w:tab/>
      </w:r>
      <w:r>
        <w:rPr>
          <w:rFonts w:hint="eastAsia" w:ascii="宋体" w:hAnsi="宋体" w:eastAsia="宋体" w:cs="宋体"/>
          <w:szCs w:val="21"/>
        </w:rPr>
        <w:t xml:space="preserve">  </w:t>
      </w:r>
      <w:r>
        <w:rPr>
          <w:rFonts w:hint="eastAsia" w:ascii="宋体" w:hAnsi="宋体" w:eastAsia="宋体" w:cs="宋体"/>
          <w:szCs w:val="21"/>
          <w:lang w:val="en-US" w:eastAsia="zh-CN"/>
        </w:rPr>
        <w:t xml:space="preserve">   </w:t>
      </w:r>
      <w:r>
        <w:rPr>
          <w:rFonts w:hint="eastAsia" w:ascii="宋体" w:hAnsi="宋体" w:eastAsia="宋体" w:cs="宋体"/>
          <w:szCs w:val="21"/>
        </w:rPr>
        <w:t xml:space="preserve"> 乙方：   （盖章）</w:t>
      </w:r>
    </w:p>
    <w:p w14:paraId="6B487FB7">
      <w:pPr>
        <w:spacing w:before="156" w:beforeLines="50" w:after="156" w:afterLines="50" w:line="360" w:lineRule="auto"/>
        <w:ind w:firstLine="420" w:firstLineChars="200"/>
        <w:rPr>
          <w:rFonts w:hint="eastAsia" w:ascii="宋体" w:hAnsi="宋体" w:eastAsia="宋体" w:cs="宋体"/>
          <w:szCs w:val="21"/>
        </w:rPr>
      </w:pPr>
      <w:r>
        <w:rPr>
          <w:rFonts w:hint="eastAsia" w:ascii="宋体" w:hAnsi="宋体" w:eastAsia="宋体" w:cs="宋体"/>
          <w:szCs w:val="21"/>
        </w:rPr>
        <w:t xml:space="preserve">法定代表人/委托代理人：            </w:t>
      </w:r>
      <w:r>
        <w:rPr>
          <w:rFonts w:hint="eastAsia" w:ascii="宋体" w:hAnsi="宋体" w:eastAsia="宋体" w:cs="宋体"/>
          <w:szCs w:val="21"/>
          <w:lang w:val="en-US" w:eastAsia="zh-CN"/>
        </w:rPr>
        <w:t xml:space="preserve">   </w:t>
      </w:r>
      <w:r>
        <w:rPr>
          <w:rFonts w:hint="eastAsia" w:ascii="宋体" w:hAnsi="宋体" w:eastAsia="宋体" w:cs="宋体"/>
          <w:szCs w:val="21"/>
        </w:rPr>
        <w:t>法定代表人/委托代理人：</w:t>
      </w:r>
    </w:p>
    <w:p w14:paraId="4E71184A">
      <w:pPr>
        <w:spacing w:before="156" w:beforeLines="50" w:after="156" w:afterLines="50" w:line="360" w:lineRule="auto"/>
        <w:ind w:firstLine="420" w:firstLineChars="200"/>
        <w:rPr>
          <w:rFonts w:hint="eastAsia" w:ascii="宋体" w:hAnsi="宋体" w:eastAsia="宋体" w:cs="宋体"/>
          <w:szCs w:val="21"/>
        </w:rPr>
      </w:pPr>
      <w:r>
        <w:rPr>
          <w:rFonts w:hint="eastAsia" w:ascii="宋体" w:hAnsi="宋体" w:eastAsia="宋体" w:cs="宋体"/>
          <w:szCs w:val="21"/>
        </w:rPr>
        <w:t>地    址：</w:t>
      </w:r>
      <w:r>
        <w:rPr>
          <w:rFonts w:hint="eastAsia" w:ascii="宋体" w:hAnsi="宋体" w:eastAsia="宋体" w:cs="宋体"/>
          <w:color w:val="auto"/>
          <w:szCs w:val="21"/>
        </w:rPr>
        <w:t>西安市雁塔区鱼</w:t>
      </w:r>
      <w:r>
        <w:rPr>
          <w:rFonts w:hint="eastAsia" w:ascii="宋体" w:hAnsi="宋体" w:eastAsia="宋体" w:cs="宋体"/>
          <w:color w:val="auto"/>
          <w:szCs w:val="21"/>
          <w:lang w:val="en-US" w:eastAsia="zh-CN"/>
        </w:rPr>
        <w:t>斗</w:t>
      </w:r>
      <w:r>
        <w:rPr>
          <w:rFonts w:hint="eastAsia" w:ascii="宋体" w:hAnsi="宋体" w:eastAsia="宋体" w:cs="宋体"/>
          <w:color w:val="auto"/>
          <w:szCs w:val="21"/>
        </w:rPr>
        <w:t>路169号</w:t>
      </w:r>
      <w:r>
        <w:rPr>
          <w:rFonts w:hint="eastAsia" w:ascii="宋体" w:hAnsi="宋体" w:eastAsia="宋体" w:cs="宋体"/>
          <w:szCs w:val="21"/>
        </w:rPr>
        <w:t xml:space="preserve">    地    址：</w:t>
      </w:r>
    </w:p>
    <w:p w14:paraId="708E5AEC">
      <w:pPr>
        <w:spacing w:before="156" w:beforeLines="50" w:after="156" w:afterLines="50" w:line="360" w:lineRule="auto"/>
        <w:ind w:firstLine="420" w:firstLineChars="200"/>
        <w:rPr>
          <w:rFonts w:hint="eastAsia" w:ascii="宋体" w:hAnsi="宋体" w:eastAsia="宋体" w:cs="宋体"/>
          <w:szCs w:val="21"/>
        </w:rPr>
      </w:pPr>
      <w:r>
        <w:rPr>
          <w:rFonts w:hint="eastAsia" w:ascii="宋体" w:hAnsi="宋体" w:eastAsia="宋体" w:cs="宋体"/>
          <w:szCs w:val="21"/>
        </w:rPr>
        <w:t>开户银行：</w:t>
      </w:r>
      <w:r>
        <w:rPr>
          <w:rFonts w:hint="eastAsia" w:ascii="宋体" w:hAnsi="宋体" w:eastAsia="宋体" w:cs="宋体"/>
          <w:color w:val="auto"/>
          <w:szCs w:val="21"/>
        </w:rPr>
        <w:t>秦农银行鱼化支行</w:t>
      </w:r>
      <w:r>
        <w:rPr>
          <w:rFonts w:hint="eastAsia" w:ascii="宋体" w:hAnsi="宋体" w:eastAsia="宋体" w:cs="宋体"/>
          <w:szCs w:val="21"/>
        </w:rPr>
        <w:t xml:space="preserve">   </w:t>
      </w:r>
      <w:r>
        <w:rPr>
          <w:rFonts w:hint="eastAsia" w:ascii="宋体" w:hAnsi="宋体" w:eastAsia="宋体" w:cs="宋体"/>
          <w:szCs w:val="21"/>
          <w:lang w:val="en-US" w:eastAsia="zh-CN"/>
        </w:rPr>
        <w:t xml:space="preserve">         </w:t>
      </w:r>
      <w:r>
        <w:rPr>
          <w:rFonts w:hint="eastAsia" w:ascii="宋体" w:hAnsi="宋体" w:eastAsia="宋体" w:cs="宋体"/>
          <w:szCs w:val="21"/>
        </w:rPr>
        <w:t>开户银行：</w:t>
      </w:r>
    </w:p>
    <w:p w14:paraId="3E648268">
      <w:pPr>
        <w:spacing w:before="156" w:beforeLines="50" w:after="156" w:afterLines="50" w:line="360" w:lineRule="auto"/>
        <w:ind w:firstLine="420" w:firstLineChars="200"/>
        <w:rPr>
          <w:rFonts w:hint="eastAsia" w:ascii="宋体" w:hAnsi="宋体" w:eastAsia="宋体" w:cs="宋体"/>
          <w:szCs w:val="21"/>
        </w:rPr>
      </w:pPr>
      <w:r>
        <w:rPr>
          <w:rFonts w:hint="eastAsia" w:ascii="宋体" w:hAnsi="宋体" w:eastAsia="宋体" w:cs="宋体"/>
          <w:szCs w:val="21"/>
        </w:rPr>
        <w:t>账    号：</w:t>
      </w:r>
      <w:r>
        <w:rPr>
          <w:rFonts w:hint="eastAsia" w:ascii="宋体" w:hAnsi="宋体" w:eastAsia="宋体" w:cs="宋体"/>
          <w:color w:val="auto"/>
          <w:szCs w:val="21"/>
        </w:rPr>
        <w:t>2701 0201 0120 1000 0124 47</w:t>
      </w:r>
      <w:r>
        <w:rPr>
          <w:rFonts w:hint="eastAsia" w:ascii="宋体" w:hAnsi="宋体" w:eastAsia="宋体" w:cs="宋体"/>
          <w:szCs w:val="21"/>
        </w:rPr>
        <w:t xml:space="preserve"> 账    号：</w:t>
      </w:r>
    </w:p>
    <w:p w14:paraId="3DD38D5F">
      <w:pPr>
        <w:spacing w:before="156" w:beforeLines="50" w:after="156" w:afterLines="50" w:line="360" w:lineRule="auto"/>
        <w:ind w:firstLine="420" w:firstLineChars="200"/>
        <w:rPr>
          <w:rFonts w:hint="eastAsia" w:ascii="宋体" w:hAnsi="宋体" w:eastAsia="宋体" w:cs="宋体"/>
          <w:szCs w:val="21"/>
        </w:rPr>
      </w:pPr>
      <w:r>
        <w:rPr>
          <w:rFonts w:hint="eastAsia" w:ascii="宋体" w:hAnsi="宋体" w:eastAsia="宋体" w:cs="宋体"/>
          <w:szCs w:val="21"/>
        </w:rPr>
        <w:t>电    话：</w:t>
      </w:r>
      <w:r>
        <w:rPr>
          <w:rFonts w:hint="eastAsia" w:ascii="宋体" w:hAnsi="宋体" w:eastAsia="宋体" w:cs="宋体"/>
          <w:color w:val="auto"/>
          <w:szCs w:val="21"/>
        </w:rPr>
        <w:t>029-88519571</w:t>
      </w:r>
      <w:r>
        <w:rPr>
          <w:rFonts w:hint="eastAsia" w:ascii="宋体" w:hAnsi="宋体" w:eastAsia="宋体" w:cs="宋体"/>
          <w:szCs w:val="21"/>
        </w:rPr>
        <w:t xml:space="preserve">         </w:t>
      </w:r>
      <w:r>
        <w:rPr>
          <w:rFonts w:hint="eastAsia" w:ascii="宋体" w:hAnsi="宋体" w:eastAsia="宋体" w:cs="宋体"/>
          <w:szCs w:val="21"/>
          <w:lang w:val="en-US" w:eastAsia="zh-CN"/>
        </w:rPr>
        <w:t xml:space="preserve">    </w:t>
      </w:r>
      <w:r>
        <w:rPr>
          <w:rFonts w:hint="eastAsia" w:ascii="宋体" w:hAnsi="宋体" w:eastAsia="宋体" w:cs="宋体"/>
          <w:szCs w:val="21"/>
        </w:rPr>
        <w:t xml:space="preserve"> </w:t>
      </w:r>
      <w:r>
        <w:rPr>
          <w:rFonts w:hint="eastAsia" w:ascii="宋体" w:hAnsi="宋体" w:eastAsia="宋体" w:cs="宋体"/>
          <w:szCs w:val="21"/>
          <w:lang w:val="en-US" w:eastAsia="zh-CN"/>
        </w:rPr>
        <w:t xml:space="preserve">  </w:t>
      </w:r>
      <w:r>
        <w:rPr>
          <w:rFonts w:hint="eastAsia" w:ascii="宋体" w:hAnsi="宋体" w:eastAsia="宋体" w:cs="宋体"/>
          <w:szCs w:val="21"/>
        </w:rPr>
        <w:t>电    话：</w:t>
      </w:r>
    </w:p>
    <w:p w14:paraId="501FB5A8">
      <w:pPr>
        <w:spacing w:before="156" w:beforeLines="50" w:after="156" w:afterLines="50" w:line="360" w:lineRule="auto"/>
        <w:ind w:firstLine="420" w:firstLineChars="200"/>
        <w:rPr>
          <w:rFonts w:hint="eastAsia" w:ascii="宋体" w:hAnsi="宋体" w:eastAsia="宋体" w:cs="宋体"/>
          <w:szCs w:val="21"/>
        </w:rPr>
      </w:pPr>
      <w:r>
        <w:rPr>
          <w:rFonts w:hint="eastAsia" w:ascii="宋体" w:hAnsi="宋体" w:eastAsia="宋体" w:cs="宋体"/>
          <w:szCs w:val="21"/>
        </w:rPr>
        <w:t xml:space="preserve">传    真：                         </w:t>
      </w:r>
      <w:r>
        <w:rPr>
          <w:rFonts w:hint="eastAsia" w:ascii="宋体" w:hAnsi="宋体" w:eastAsia="宋体" w:cs="宋体"/>
          <w:szCs w:val="21"/>
          <w:lang w:val="en-US" w:eastAsia="zh-CN"/>
        </w:rPr>
        <w:t xml:space="preserve">   </w:t>
      </w:r>
      <w:r>
        <w:rPr>
          <w:rFonts w:hint="eastAsia" w:ascii="宋体" w:hAnsi="宋体" w:eastAsia="宋体" w:cs="宋体"/>
          <w:szCs w:val="21"/>
        </w:rPr>
        <w:t>传    真：</w:t>
      </w:r>
    </w:p>
    <w:p w14:paraId="72DAFE88">
      <w:pPr>
        <w:spacing w:before="156" w:beforeLines="50" w:after="156" w:afterLines="50" w:line="360" w:lineRule="auto"/>
        <w:ind w:firstLine="420" w:firstLineChars="200"/>
        <w:rPr>
          <w:rFonts w:hint="eastAsia" w:ascii="宋体" w:hAnsi="宋体" w:eastAsia="宋体" w:cs="宋体"/>
          <w:szCs w:val="21"/>
        </w:rPr>
      </w:pPr>
      <w:r>
        <w:rPr>
          <w:rFonts w:hint="eastAsia" w:ascii="宋体" w:hAnsi="宋体" w:eastAsia="宋体" w:cs="宋体"/>
          <w:szCs w:val="21"/>
        </w:rPr>
        <w:t xml:space="preserve">签约日期： </w:t>
      </w:r>
      <w:r>
        <w:rPr>
          <w:rFonts w:hint="eastAsia" w:ascii="宋体" w:hAnsi="宋体" w:eastAsia="宋体" w:cs="宋体"/>
          <w:szCs w:val="21"/>
          <w:lang w:val="en-US" w:eastAsia="zh-CN"/>
        </w:rPr>
        <w:t xml:space="preserve">202  </w:t>
      </w:r>
      <w:r>
        <w:rPr>
          <w:rFonts w:hint="eastAsia" w:ascii="宋体" w:hAnsi="宋体" w:eastAsia="宋体" w:cs="宋体"/>
          <w:szCs w:val="21"/>
        </w:rPr>
        <w:t>年</w:t>
      </w:r>
      <w:r>
        <w:rPr>
          <w:rFonts w:hint="eastAsia" w:ascii="宋体" w:hAnsi="宋体" w:eastAsia="宋体" w:cs="宋体"/>
          <w:szCs w:val="21"/>
          <w:lang w:val="en-US" w:eastAsia="zh-CN"/>
        </w:rPr>
        <w:t xml:space="preserve">  </w:t>
      </w:r>
      <w:r>
        <w:rPr>
          <w:rFonts w:hint="eastAsia" w:ascii="宋体" w:hAnsi="宋体" w:eastAsia="宋体" w:cs="宋体"/>
          <w:szCs w:val="21"/>
        </w:rPr>
        <w:t>月</w:t>
      </w:r>
      <w:r>
        <w:rPr>
          <w:rFonts w:hint="eastAsia" w:ascii="宋体" w:hAnsi="宋体" w:eastAsia="宋体" w:cs="宋体"/>
          <w:szCs w:val="21"/>
          <w:lang w:val="en-US" w:eastAsia="zh-CN"/>
        </w:rPr>
        <w:t xml:space="preserve">  </w:t>
      </w:r>
      <w:r>
        <w:rPr>
          <w:rFonts w:hint="eastAsia" w:ascii="宋体" w:hAnsi="宋体" w:eastAsia="宋体" w:cs="宋体"/>
          <w:szCs w:val="21"/>
        </w:rPr>
        <w:t xml:space="preserve">日          签约日期： </w:t>
      </w:r>
      <w:r>
        <w:rPr>
          <w:rFonts w:hint="eastAsia" w:ascii="宋体" w:hAnsi="宋体" w:eastAsia="宋体" w:cs="宋体"/>
          <w:szCs w:val="21"/>
          <w:lang w:val="en-US" w:eastAsia="zh-CN"/>
        </w:rPr>
        <w:t xml:space="preserve">202  </w:t>
      </w:r>
      <w:r>
        <w:rPr>
          <w:rFonts w:hint="eastAsia" w:ascii="宋体" w:hAnsi="宋体" w:eastAsia="宋体" w:cs="宋体"/>
          <w:szCs w:val="21"/>
        </w:rPr>
        <w:t>年</w:t>
      </w:r>
      <w:r>
        <w:rPr>
          <w:rFonts w:hint="eastAsia" w:ascii="宋体" w:hAnsi="宋体" w:eastAsia="宋体" w:cs="宋体"/>
          <w:szCs w:val="21"/>
          <w:lang w:val="en-US" w:eastAsia="zh-CN"/>
        </w:rPr>
        <w:t xml:space="preserve">  </w:t>
      </w:r>
      <w:r>
        <w:rPr>
          <w:rFonts w:hint="eastAsia" w:ascii="宋体" w:hAnsi="宋体" w:eastAsia="宋体" w:cs="宋体"/>
          <w:szCs w:val="21"/>
        </w:rPr>
        <w:t>月</w:t>
      </w:r>
      <w:r>
        <w:rPr>
          <w:rFonts w:hint="eastAsia" w:ascii="宋体" w:hAnsi="宋体" w:eastAsia="宋体" w:cs="宋体"/>
          <w:szCs w:val="21"/>
          <w:lang w:val="en-US" w:eastAsia="zh-CN"/>
        </w:rPr>
        <w:t xml:space="preserve">  </w:t>
      </w:r>
      <w:r>
        <w:rPr>
          <w:rFonts w:hint="eastAsia" w:ascii="宋体" w:hAnsi="宋体" w:eastAsia="宋体" w:cs="宋体"/>
          <w:szCs w:val="21"/>
        </w:rPr>
        <w:t>日</w:t>
      </w:r>
    </w:p>
    <w:p w14:paraId="3CCF1658">
      <w:pPr>
        <w:rPr>
          <w:rFonts w:hint="eastAsia" w:ascii="宋体" w:hAnsi="宋体" w:eastAsia="宋体" w:cs="宋体"/>
          <w:sz w:val="28"/>
          <w:szCs w:val="28"/>
        </w:rPr>
      </w:pPr>
    </w:p>
    <w:p w14:paraId="2894385F">
      <w:pPr>
        <w:rPr>
          <w:rFonts w:hint="eastAsia" w:ascii="宋体" w:hAnsi="宋体" w:eastAsia="宋体" w:cs="宋体"/>
          <w:sz w:val="28"/>
          <w:szCs w:val="28"/>
        </w:rPr>
      </w:pPr>
    </w:p>
    <w:p w14:paraId="00ABD066">
      <w:pPr>
        <w:rPr>
          <w:rFonts w:hint="eastAsia" w:ascii="宋体" w:hAnsi="宋体" w:eastAsia="宋体" w:cs="宋体"/>
          <w:sz w:val="28"/>
          <w:szCs w:val="28"/>
        </w:rPr>
      </w:pPr>
    </w:p>
    <w:p w14:paraId="000D5977">
      <w:pPr>
        <w:rPr>
          <w:rFonts w:hint="eastAsia" w:ascii="宋体" w:hAnsi="宋体" w:eastAsia="宋体" w:cs="宋体"/>
          <w:sz w:val="28"/>
          <w:szCs w:val="28"/>
        </w:rPr>
      </w:pPr>
    </w:p>
    <w:p w14:paraId="3506A491">
      <w:pPr>
        <w:rPr>
          <w:rFonts w:hint="eastAsia" w:ascii="宋体" w:hAnsi="宋体" w:eastAsia="宋体" w:cs="宋体"/>
        </w:rPr>
      </w:pPr>
    </w:p>
    <w:sectPr>
      <w:pgSz w:w="11906" w:h="16838"/>
      <w:pgMar w:top="1157" w:right="1213" w:bottom="1157" w:left="123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6716B62-E9D4-4AA0-9ED5-694327C4666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NjZTFkODBjZDRiNzZmYmJjZjcxNzY4YTIxZWQ2NDcifQ=="/>
  </w:docVars>
  <w:rsids>
    <w:rsidRoot w:val="2D1879A5"/>
    <w:rsid w:val="001613A9"/>
    <w:rsid w:val="001F6E64"/>
    <w:rsid w:val="002754E9"/>
    <w:rsid w:val="00715CA3"/>
    <w:rsid w:val="009455F3"/>
    <w:rsid w:val="017D2356"/>
    <w:rsid w:val="01C901A1"/>
    <w:rsid w:val="03EA2B20"/>
    <w:rsid w:val="03ED68B8"/>
    <w:rsid w:val="03EE6A66"/>
    <w:rsid w:val="043D2E27"/>
    <w:rsid w:val="04943D29"/>
    <w:rsid w:val="04C020FD"/>
    <w:rsid w:val="04C95379"/>
    <w:rsid w:val="04FB5722"/>
    <w:rsid w:val="05B77E46"/>
    <w:rsid w:val="05E425BF"/>
    <w:rsid w:val="0676315C"/>
    <w:rsid w:val="067E61E3"/>
    <w:rsid w:val="071A3143"/>
    <w:rsid w:val="08077410"/>
    <w:rsid w:val="083F54C4"/>
    <w:rsid w:val="08D34ED4"/>
    <w:rsid w:val="090D3202"/>
    <w:rsid w:val="0993009C"/>
    <w:rsid w:val="09FB4897"/>
    <w:rsid w:val="0A6D1D53"/>
    <w:rsid w:val="0A7659D1"/>
    <w:rsid w:val="0A791710"/>
    <w:rsid w:val="0AAB770B"/>
    <w:rsid w:val="0B150AD6"/>
    <w:rsid w:val="0B19792F"/>
    <w:rsid w:val="0B6A49FE"/>
    <w:rsid w:val="0BC01C41"/>
    <w:rsid w:val="0C1A19CB"/>
    <w:rsid w:val="0D3F6A31"/>
    <w:rsid w:val="0E591146"/>
    <w:rsid w:val="0E8C473C"/>
    <w:rsid w:val="0EE80624"/>
    <w:rsid w:val="10D575D4"/>
    <w:rsid w:val="11260947"/>
    <w:rsid w:val="113759E0"/>
    <w:rsid w:val="113A7AE8"/>
    <w:rsid w:val="122B7A9A"/>
    <w:rsid w:val="12ED1ED2"/>
    <w:rsid w:val="13681BEB"/>
    <w:rsid w:val="143A6C6E"/>
    <w:rsid w:val="15D67352"/>
    <w:rsid w:val="1652088D"/>
    <w:rsid w:val="16EF62C0"/>
    <w:rsid w:val="17461C26"/>
    <w:rsid w:val="17767FFC"/>
    <w:rsid w:val="179E70B5"/>
    <w:rsid w:val="17D54881"/>
    <w:rsid w:val="18BF7E6E"/>
    <w:rsid w:val="18C3797E"/>
    <w:rsid w:val="18D0563A"/>
    <w:rsid w:val="18E133D4"/>
    <w:rsid w:val="18EC3943"/>
    <w:rsid w:val="1A0C11FB"/>
    <w:rsid w:val="1A1F7E04"/>
    <w:rsid w:val="1ABC59A1"/>
    <w:rsid w:val="1B796A3D"/>
    <w:rsid w:val="1C155BEA"/>
    <w:rsid w:val="1C1A69B2"/>
    <w:rsid w:val="1CAC451B"/>
    <w:rsid w:val="1CB555B8"/>
    <w:rsid w:val="1CFD3B8D"/>
    <w:rsid w:val="1D7F34D7"/>
    <w:rsid w:val="1E6D3830"/>
    <w:rsid w:val="1F4656AB"/>
    <w:rsid w:val="1FDB414D"/>
    <w:rsid w:val="1FDD33DB"/>
    <w:rsid w:val="2017600C"/>
    <w:rsid w:val="201F26BE"/>
    <w:rsid w:val="20397495"/>
    <w:rsid w:val="2104461D"/>
    <w:rsid w:val="21396B19"/>
    <w:rsid w:val="21C117E1"/>
    <w:rsid w:val="21C360BC"/>
    <w:rsid w:val="22C12578"/>
    <w:rsid w:val="23464CF8"/>
    <w:rsid w:val="23983BC9"/>
    <w:rsid w:val="24723E97"/>
    <w:rsid w:val="24864E3F"/>
    <w:rsid w:val="24CA659D"/>
    <w:rsid w:val="24D23BD9"/>
    <w:rsid w:val="24D92D14"/>
    <w:rsid w:val="254874E8"/>
    <w:rsid w:val="27591469"/>
    <w:rsid w:val="276B6313"/>
    <w:rsid w:val="27B25346"/>
    <w:rsid w:val="2814471B"/>
    <w:rsid w:val="281655A4"/>
    <w:rsid w:val="28453793"/>
    <w:rsid w:val="28785D81"/>
    <w:rsid w:val="28BA576C"/>
    <w:rsid w:val="28D5155F"/>
    <w:rsid w:val="29BC719C"/>
    <w:rsid w:val="2BE43518"/>
    <w:rsid w:val="2C581699"/>
    <w:rsid w:val="2CFC4E6C"/>
    <w:rsid w:val="2D034A64"/>
    <w:rsid w:val="2D1879A5"/>
    <w:rsid w:val="2D545B85"/>
    <w:rsid w:val="2D996CEC"/>
    <w:rsid w:val="2DB266B3"/>
    <w:rsid w:val="2DCD75BF"/>
    <w:rsid w:val="2DD113A1"/>
    <w:rsid w:val="2E8E634D"/>
    <w:rsid w:val="2ED91D5A"/>
    <w:rsid w:val="2F794E9E"/>
    <w:rsid w:val="2FC01682"/>
    <w:rsid w:val="30CB0C22"/>
    <w:rsid w:val="32307605"/>
    <w:rsid w:val="32C401CB"/>
    <w:rsid w:val="32DB54C6"/>
    <w:rsid w:val="339D2F50"/>
    <w:rsid w:val="339D4F0E"/>
    <w:rsid w:val="33FC07C3"/>
    <w:rsid w:val="34560A61"/>
    <w:rsid w:val="34EA71E6"/>
    <w:rsid w:val="356C4351"/>
    <w:rsid w:val="35A80896"/>
    <w:rsid w:val="35AC3430"/>
    <w:rsid w:val="36161526"/>
    <w:rsid w:val="36BF21B7"/>
    <w:rsid w:val="36CD4359"/>
    <w:rsid w:val="380E35B3"/>
    <w:rsid w:val="38707B5F"/>
    <w:rsid w:val="38CC6647"/>
    <w:rsid w:val="391F2192"/>
    <w:rsid w:val="39657AA9"/>
    <w:rsid w:val="3A0B4EF5"/>
    <w:rsid w:val="3AAE61F9"/>
    <w:rsid w:val="3AAF547F"/>
    <w:rsid w:val="3BE55513"/>
    <w:rsid w:val="3C6B0ACE"/>
    <w:rsid w:val="3CFF3F9B"/>
    <w:rsid w:val="3D1159FB"/>
    <w:rsid w:val="3D2622B2"/>
    <w:rsid w:val="3D426971"/>
    <w:rsid w:val="3D9402FD"/>
    <w:rsid w:val="3DA93519"/>
    <w:rsid w:val="3DC337BE"/>
    <w:rsid w:val="3DE469B3"/>
    <w:rsid w:val="3EAF340D"/>
    <w:rsid w:val="3ECE6A05"/>
    <w:rsid w:val="405C74C0"/>
    <w:rsid w:val="40611CD4"/>
    <w:rsid w:val="411A5B3D"/>
    <w:rsid w:val="41567611"/>
    <w:rsid w:val="415B2785"/>
    <w:rsid w:val="41B52728"/>
    <w:rsid w:val="420B70E4"/>
    <w:rsid w:val="423230FE"/>
    <w:rsid w:val="4236708A"/>
    <w:rsid w:val="433A27F6"/>
    <w:rsid w:val="43767423"/>
    <w:rsid w:val="437D3E08"/>
    <w:rsid w:val="43B23556"/>
    <w:rsid w:val="44174390"/>
    <w:rsid w:val="443140B3"/>
    <w:rsid w:val="444357D3"/>
    <w:rsid w:val="44D45B25"/>
    <w:rsid w:val="450734B4"/>
    <w:rsid w:val="462F16C5"/>
    <w:rsid w:val="46C709A3"/>
    <w:rsid w:val="46E80823"/>
    <w:rsid w:val="47421E99"/>
    <w:rsid w:val="47EF2C08"/>
    <w:rsid w:val="480A28A8"/>
    <w:rsid w:val="48950A8E"/>
    <w:rsid w:val="48B631F0"/>
    <w:rsid w:val="48DB3399"/>
    <w:rsid w:val="49F51D51"/>
    <w:rsid w:val="4B5771E5"/>
    <w:rsid w:val="4C386DB6"/>
    <w:rsid w:val="4C476937"/>
    <w:rsid w:val="4CB35FE3"/>
    <w:rsid w:val="4CC64AF0"/>
    <w:rsid w:val="4CF87269"/>
    <w:rsid w:val="4D3B481E"/>
    <w:rsid w:val="4D505539"/>
    <w:rsid w:val="4E4E66AB"/>
    <w:rsid w:val="4E8D7471"/>
    <w:rsid w:val="4ED2004D"/>
    <w:rsid w:val="50511989"/>
    <w:rsid w:val="513B0F35"/>
    <w:rsid w:val="51B5110E"/>
    <w:rsid w:val="51BE141D"/>
    <w:rsid w:val="53121E80"/>
    <w:rsid w:val="53714053"/>
    <w:rsid w:val="5384129A"/>
    <w:rsid w:val="53EF500C"/>
    <w:rsid w:val="54066983"/>
    <w:rsid w:val="54454182"/>
    <w:rsid w:val="5471419D"/>
    <w:rsid w:val="55206026"/>
    <w:rsid w:val="55302705"/>
    <w:rsid w:val="55EA20A9"/>
    <w:rsid w:val="56123D8C"/>
    <w:rsid w:val="56871905"/>
    <w:rsid w:val="569E3BC4"/>
    <w:rsid w:val="56A70C66"/>
    <w:rsid w:val="56B62B84"/>
    <w:rsid w:val="575943C2"/>
    <w:rsid w:val="57D81CAC"/>
    <w:rsid w:val="586E1C93"/>
    <w:rsid w:val="58721CF1"/>
    <w:rsid w:val="58853FBF"/>
    <w:rsid w:val="59B823FF"/>
    <w:rsid w:val="5A901D28"/>
    <w:rsid w:val="5B79555D"/>
    <w:rsid w:val="5BA95FBA"/>
    <w:rsid w:val="5C3E071D"/>
    <w:rsid w:val="5C5B03F3"/>
    <w:rsid w:val="5C642457"/>
    <w:rsid w:val="5C990C0D"/>
    <w:rsid w:val="5CBB0868"/>
    <w:rsid w:val="5D270728"/>
    <w:rsid w:val="5D553DCA"/>
    <w:rsid w:val="5D722DC4"/>
    <w:rsid w:val="5DDA0A5B"/>
    <w:rsid w:val="5DE4136C"/>
    <w:rsid w:val="5F6A4A93"/>
    <w:rsid w:val="5FFD12B2"/>
    <w:rsid w:val="6045562B"/>
    <w:rsid w:val="611A109D"/>
    <w:rsid w:val="626A6CF9"/>
    <w:rsid w:val="6439030E"/>
    <w:rsid w:val="64AA51B2"/>
    <w:rsid w:val="64BA0B76"/>
    <w:rsid w:val="64D763C7"/>
    <w:rsid w:val="64E06356"/>
    <w:rsid w:val="668C1257"/>
    <w:rsid w:val="68045D94"/>
    <w:rsid w:val="69227CFC"/>
    <w:rsid w:val="69D668B1"/>
    <w:rsid w:val="6AD65029"/>
    <w:rsid w:val="6ADA04DA"/>
    <w:rsid w:val="6B22008D"/>
    <w:rsid w:val="6B22297E"/>
    <w:rsid w:val="6B566DC9"/>
    <w:rsid w:val="6B9A048C"/>
    <w:rsid w:val="6B9A4B78"/>
    <w:rsid w:val="6BCA6820"/>
    <w:rsid w:val="6C5C7F7B"/>
    <w:rsid w:val="6CC759D9"/>
    <w:rsid w:val="6D586D3C"/>
    <w:rsid w:val="6E76172F"/>
    <w:rsid w:val="6F266295"/>
    <w:rsid w:val="6F3F762D"/>
    <w:rsid w:val="6FF46A00"/>
    <w:rsid w:val="70125687"/>
    <w:rsid w:val="709D4C41"/>
    <w:rsid w:val="70AE12EA"/>
    <w:rsid w:val="71142BD8"/>
    <w:rsid w:val="728A0E1D"/>
    <w:rsid w:val="7371444A"/>
    <w:rsid w:val="737364B4"/>
    <w:rsid w:val="741625F4"/>
    <w:rsid w:val="74324A32"/>
    <w:rsid w:val="74967546"/>
    <w:rsid w:val="757168F5"/>
    <w:rsid w:val="760C2617"/>
    <w:rsid w:val="779C36AB"/>
    <w:rsid w:val="781E1700"/>
    <w:rsid w:val="79487727"/>
    <w:rsid w:val="79735266"/>
    <w:rsid w:val="797A4047"/>
    <w:rsid w:val="79E215CB"/>
    <w:rsid w:val="7A422153"/>
    <w:rsid w:val="7B724946"/>
    <w:rsid w:val="7B9524B5"/>
    <w:rsid w:val="7C266744"/>
    <w:rsid w:val="7D09149E"/>
    <w:rsid w:val="7D0A1259"/>
    <w:rsid w:val="7D1C3E40"/>
    <w:rsid w:val="7D314C2A"/>
    <w:rsid w:val="7DC77B67"/>
    <w:rsid w:val="7DDB2DC7"/>
    <w:rsid w:val="7F123111"/>
    <w:rsid w:val="7F2F04CE"/>
    <w:rsid w:val="7FDE17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1"/>
    <w:qFormat/>
    <w:uiPriority w:val="0"/>
    <w:pPr>
      <w:keepNext/>
      <w:keepLines/>
      <w:spacing w:line="360" w:lineRule="auto"/>
      <w:jc w:val="center"/>
      <w:outlineLvl w:val="0"/>
    </w:pPr>
    <w:rPr>
      <w:rFonts w:hint="eastAsia" w:ascii="Arial" w:hAnsi="Arial" w:eastAsia="仿宋" w:cs="Arial"/>
      <w:b/>
      <w:snapToGrid w:val="0"/>
      <w:color w:val="000000"/>
      <w:kern w:val="44"/>
      <w:sz w:val="36"/>
      <w:szCs w:val="21"/>
    </w:rPr>
  </w:style>
  <w:style w:type="paragraph" w:styleId="4">
    <w:name w:val="heading 2"/>
    <w:basedOn w:val="1"/>
    <w:next w:val="5"/>
    <w:link w:val="24"/>
    <w:semiHidden/>
    <w:unhideWhenUsed/>
    <w:qFormat/>
    <w:uiPriority w:val="0"/>
    <w:pPr>
      <w:keepNext/>
      <w:keepLines/>
      <w:adjustRightInd w:val="0"/>
      <w:spacing w:line="360" w:lineRule="auto"/>
      <w:jc w:val="left"/>
      <w:outlineLvl w:val="1"/>
    </w:pPr>
    <w:rPr>
      <w:rFonts w:ascii="Arial" w:hAnsi="Arial" w:eastAsia="仿宋" w:cs="Arial"/>
      <w:b/>
      <w:snapToGrid w:val="0"/>
      <w:color w:val="000000"/>
      <w:sz w:val="32"/>
      <w:szCs w:val="21"/>
    </w:rPr>
  </w:style>
  <w:style w:type="paragraph" w:styleId="6">
    <w:name w:val="heading 3"/>
    <w:basedOn w:val="1"/>
    <w:next w:val="5"/>
    <w:link w:val="22"/>
    <w:semiHidden/>
    <w:unhideWhenUsed/>
    <w:qFormat/>
    <w:uiPriority w:val="0"/>
    <w:pPr>
      <w:keepNext/>
      <w:keepLines/>
      <w:adjustRightInd w:val="0"/>
      <w:spacing w:line="360" w:lineRule="auto"/>
      <w:jc w:val="left"/>
      <w:outlineLvl w:val="2"/>
    </w:pPr>
    <w:rPr>
      <w:rFonts w:ascii="Arial" w:hAnsi="Arial" w:eastAsia="仿宋" w:cs="Arial"/>
      <w:b/>
      <w:snapToGrid w:val="0"/>
      <w:color w:val="000000"/>
      <w:sz w:val="30"/>
      <w:szCs w:val="21"/>
    </w:rPr>
  </w:style>
  <w:style w:type="paragraph" w:styleId="7">
    <w:name w:val="heading 4"/>
    <w:basedOn w:val="1"/>
    <w:next w:val="1"/>
    <w:link w:val="23"/>
    <w:semiHidden/>
    <w:unhideWhenUsed/>
    <w:qFormat/>
    <w:uiPriority w:val="0"/>
    <w:pPr>
      <w:keepNext/>
      <w:keepLines/>
      <w:adjustRightInd w:val="0"/>
      <w:spacing w:before="120" w:after="120" w:line="16" w:lineRule="atLeast"/>
      <w:outlineLvl w:val="3"/>
    </w:pPr>
    <w:rPr>
      <w:rFonts w:ascii="Arial" w:hAnsi="Arial" w:eastAsia="仿宋" w:cs="宋体"/>
      <w:b/>
      <w:sz w:val="28"/>
      <w:szCs w:val="22"/>
      <w:lang w:val="zh-CN" w:bidi="zh-CN"/>
    </w:rPr>
  </w:style>
  <w:style w:type="paragraph" w:styleId="8">
    <w:name w:val="heading 5"/>
    <w:basedOn w:val="1"/>
    <w:next w:val="1"/>
    <w:link w:val="20"/>
    <w:semiHidden/>
    <w:unhideWhenUsed/>
    <w:qFormat/>
    <w:uiPriority w:val="0"/>
    <w:pPr>
      <w:keepNext/>
      <w:keepLines/>
      <w:snapToGrid w:val="0"/>
      <w:outlineLvl w:val="4"/>
    </w:pPr>
    <w:rPr>
      <w:rFonts w:asciiTheme="minorHAnsi" w:hAnsiTheme="minorHAnsi"/>
      <w:b/>
      <w:sz w:val="28"/>
    </w:rPr>
  </w:style>
  <w:style w:type="paragraph" w:styleId="9">
    <w:name w:val="heading 6"/>
    <w:basedOn w:val="1"/>
    <w:next w:val="1"/>
    <w:semiHidden/>
    <w:unhideWhenUsed/>
    <w:qFormat/>
    <w:uiPriority w:val="0"/>
    <w:pPr>
      <w:keepNext/>
      <w:keepLines/>
      <w:adjustRightInd w:val="0"/>
      <w:snapToGrid w:val="0"/>
      <w:spacing w:line="360" w:lineRule="auto"/>
      <w:outlineLvl w:val="5"/>
    </w:pPr>
    <w:rPr>
      <w:rFonts w:ascii="Cambria" w:hAnsi="Cambria"/>
      <w:b/>
      <w:bCs/>
      <w:sz w:val="28"/>
      <w:szCs w:val="22"/>
      <w:lang w:val="zh-CN" w:bidi="zh-CN"/>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5">
    <w:name w:val="Normal Indent"/>
    <w:basedOn w:val="1"/>
    <w:qFormat/>
    <w:uiPriority w:val="0"/>
    <w:pPr>
      <w:ind w:firstLine="420" w:firstLineChars="200"/>
    </w:pPr>
  </w:style>
  <w:style w:type="paragraph" w:styleId="10">
    <w:name w:val="annotation text"/>
    <w:basedOn w:val="1"/>
    <w:link w:val="27"/>
    <w:qFormat/>
    <w:uiPriority w:val="0"/>
    <w:pPr>
      <w:jc w:val="left"/>
    </w:pPr>
  </w:style>
  <w:style w:type="paragraph" w:styleId="11">
    <w:name w:val="toc 3"/>
    <w:basedOn w:val="1"/>
    <w:next w:val="1"/>
    <w:qFormat/>
    <w:uiPriority w:val="0"/>
    <w:pPr>
      <w:spacing w:line="420" w:lineRule="exact"/>
      <w:ind w:left="960" w:leftChars="400"/>
      <w:jc w:val="left"/>
    </w:pPr>
    <w:rPr>
      <w:rFonts w:asciiTheme="minorHAnsi" w:hAnsiTheme="minorHAnsi"/>
      <w:iCs/>
      <w:sz w:val="24"/>
      <w:szCs w:val="22"/>
      <w:lang w:val="zh-CN" w:bidi="zh-CN"/>
    </w:rPr>
  </w:style>
  <w:style w:type="paragraph" w:styleId="12">
    <w:name w:val="toc 1"/>
    <w:basedOn w:val="1"/>
    <w:next w:val="1"/>
    <w:qFormat/>
    <w:uiPriority w:val="0"/>
    <w:pPr>
      <w:spacing w:line="420" w:lineRule="exact"/>
      <w:jc w:val="left"/>
    </w:pPr>
    <w:rPr>
      <w:rFonts w:asciiTheme="minorHAnsi" w:hAnsiTheme="minorHAnsi"/>
      <w:b/>
      <w:bCs/>
      <w:caps/>
      <w:sz w:val="28"/>
      <w:szCs w:val="22"/>
      <w:lang w:val="zh-CN" w:bidi="zh-CN"/>
    </w:rPr>
  </w:style>
  <w:style w:type="paragraph" w:styleId="13">
    <w:name w:val="toc 4"/>
    <w:basedOn w:val="1"/>
    <w:next w:val="1"/>
    <w:qFormat/>
    <w:uiPriority w:val="0"/>
    <w:pPr>
      <w:spacing w:line="420" w:lineRule="exact"/>
      <w:ind w:left="1260" w:leftChars="600"/>
      <w:jc w:val="left"/>
    </w:pPr>
    <w:rPr>
      <w:rFonts w:cs="Arial" w:asciiTheme="minorHAnsi" w:hAnsiTheme="minorHAnsi"/>
      <w:snapToGrid w:val="0"/>
      <w:color w:val="000000"/>
      <w:sz w:val="24"/>
      <w:szCs w:val="18"/>
      <w:lang w:val="zh-CN" w:bidi="zh-CN"/>
    </w:rPr>
  </w:style>
  <w:style w:type="paragraph" w:styleId="14">
    <w:name w:val="toc 2"/>
    <w:basedOn w:val="1"/>
    <w:next w:val="1"/>
    <w:qFormat/>
    <w:uiPriority w:val="0"/>
    <w:pPr>
      <w:spacing w:line="420" w:lineRule="exact"/>
      <w:ind w:left="440" w:leftChars="200"/>
      <w:jc w:val="left"/>
    </w:pPr>
    <w:rPr>
      <w:rFonts w:asciiTheme="minorHAnsi" w:hAnsiTheme="minorHAnsi"/>
      <w:smallCaps/>
      <w:sz w:val="24"/>
      <w:szCs w:val="22"/>
      <w:lang w:val="zh-CN" w:bidi="zh-CN"/>
    </w:rPr>
  </w:style>
  <w:style w:type="paragraph" w:styleId="15">
    <w:name w:val="annotation subject"/>
    <w:basedOn w:val="10"/>
    <w:next w:val="10"/>
    <w:link w:val="28"/>
    <w:qFormat/>
    <w:uiPriority w:val="0"/>
    <w:rPr>
      <w:b/>
      <w:bCs/>
    </w:rPr>
  </w:style>
  <w:style w:type="table" w:styleId="17">
    <w:name w:val="Table Grid"/>
    <w:basedOn w:val="1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annotation reference"/>
    <w:basedOn w:val="18"/>
    <w:qFormat/>
    <w:uiPriority w:val="0"/>
    <w:rPr>
      <w:sz w:val="21"/>
      <w:szCs w:val="21"/>
    </w:rPr>
  </w:style>
  <w:style w:type="character" w:customStyle="1" w:styleId="20">
    <w:name w:val="标题 5 字符"/>
    <w:basedOn w:val="18"/>
    <w:link w:val="8"/>
    <w:qFormat/>
    <w:uiPriority w:val="0"/>
    <w:rPr>
      <w:rFonts w:eastAsia="宋体" w:cs="Times New Roman" w:asciiTheme="minorHAnsi" w:hAnsiTheme="minorHAnsi"/>
      <w:b/>
      <w:kern w:val="2"/>
      <w:sz w:val="28"/>
      <w:szCs w:val="24"/>
    </w:rPr>
  </w:style>
  <w:style w:type="character" w:customStyle="1" w:styleId="21">
    <w:name w:val="标题 1 字符"/>
    <w:link w:val="3"/>
    <w:qFormat/>
    <w:uiPriority w:val="0"/>
    <w:rPr>
      <w:rFonts w:hint="eastAsia" w:ascii="Arial" w:hAnsi="Arial" w:eastAsia="仿宋" w:cs="Arial"/>
      <w:b/>
      <w:snapToGrid w:val="0"/>
      <w:color w:val="000000"/>
      <w:kern w:val="44"/>
      <w:sz w:val="36"/>
      <w:szCs w:val="21"/>
    </w:rPr>
  </w:style>
  <w:style w:type="character" w:customStyle="1" w:styleId="22">
    <w:name w:val="标题 3 字符"/>
    <w:link w:val="6"/>
    <w:qFormat/>
    <w:uiPriority w:val="0"/>
    <w:rPr>
      <w:rFonts w:ascii="Arial" w:hAnsi="Arial" w:eastAsia="仿宋" w:cs="Arial"/>
      <w:b/>
      <w:snapToGrid w:val="0"/>
      <w:color w:val="000000"/>
      <w:kern w:val="2"/>
      <w:sz w:val="30"/>
      <w:szCs w:val="21"/>
    </w:rPr>
  </w:style>
  <w:style w:type="character" w:customStyle="1" w:styleId="23">
    <w:name w:val="标题 4 字符"/>
    <w:basedOn w:val="18"/>
    <w:link w:val="7"/>
    <w:qFormat/>
    <w:uiPriority w:val="0"/>
    <w:rPr>
      <w:rFonts w:ascii="Arial" w:hAnsi="Arial" w:eastAsia="仿宋" w:cs="宋体"/>
      <w:b/>
      <w:bCs/>
      <w:snapToGrid w:val="0"/>
      <w:color w:val="000000"/>
      <w:kern w:val="2"/>
      <w:sz w:val="30"/>
      <w:szCs w:val="22"/>
      <w:u w:val="none" w:color="000000"/>
      <w:lang w:val="zh-CN" w:bidi="zh-CN"/>
    </w:rPr>
  </w:style>
  <w:style w:type="character" w:customStyle="1" w:styleId="24">
    <w:name w:val="标题 2 字符"/>
    <w:link w:val="4"/>
    <w:qFormat/>
    <w:uiPriority w:val="9"/>
    <w:rPr>
      <w:rFonts w:ascii="Arial" w:hAnsi="Arial" w:eastAsia="仿宋" w:cs="Arial"/>
      <w:b/>
      <w:bCs/>
      <w:snapToGrid w:val="0"/>
      <w:color w:val="000000"/>
      <w:kern w:val="2"/>
      <w:sz w:val="32"/>
      <w:szCs w:val="21"/>
    </w:rPr>
  </w:style>
  <w:style w:type="paragraph" w:customStyle="1" w:styleId="25">
    <w:name w:val="样式 首行缩进:  2 字符"/>
    <w:basedOn w:val="1"/>
    <w:qFormat/>
    <w:uiPriority w:val="0"/>
    <w:pPr>
      <w:spacing w:line="400" w:lineRule="exact"/>
      <w:ind w:firstLine="200" w:firstLineChars="200"/>
    </w:pPr>
    <w:rPr>
      <w:rFonts w:cs="宋体"/>
      <w:sz w:val="24"/>
    </w:rPr>
  </w:style>
  <w:style w:type="paragraph" w:customStyle="1" w:styleId="26">
    <w:name w:val="Revision"/>
    <w:hidden/>
    <w:unhideWhenUsed/>
    <w:qFormat/>
    <w:uiPriority w:val="99"/>
    <w:rPr>
      <w:rFonts w:ascii="Times New Roman" w:hAnsi="Times New Roman" w:eastAsia="宋体" w:cs="Times New Roman"/>
      <w:kern w:val="2"/>
      <w:sz w:val="21"/>
      <w:szCs w:val="24"/>
      <w:lang w:val="en-US" w:eastAsia="zh-CN" w:bidi="ar-SA"/>
    </w:rPr>
  </w:style>
  <w:style w:type="character" w:customStyle="1" w:styleId="27">
    <w:name w:val="批注文字 字符"/>
    <w:basedOn w:val="18"/>
    <w:link w:val="10"/>
    <w:qFormat/>
    <w:uiPriority w:val="0"/>
    <w:rPr>
      <w:kern w:val="2"/>
      <w:sz w:val="21"/>
      <w:szCs w:val="24"/>
    </w:rPr>
  </w:style>
  <w:style w:type="character" w:customStyle="1" w:styleId="28">
    <w:name w:val="批注主题 字符"/>
    <w:basedOn w:val="27"/>
    <w:link w:val="15"/>
    <w:qFormat/>
    <w:uiPriority w:val="0"/>
    <w:rPr>
      <w:b/>
      <w:bCs/>
      <w:kern w:val="2"/>
      <w:sz w:val="21"/>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3864</Words>
  <Characters>3973</Characters>
  <Lines>33</Lines>
  <Paragraphs>9</Paragraphs>
  <TotalTime>112</TotalTime>
  <ScaleCrop>false</ScaleCrop>
  <LinksUpToDate>false</LinksUpToDate>
  <CharactersWithSpaces>4205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2023-08-04T07:27:00Z</dcterms:created>
  <dc:creator>刘元</dc:creator>
  <cp:lastModifiedBy>82906579</cp:lastModifiedBy>
  <cp:lastPrinted>2024-07-03T06:40:00Z</cp:lastPrinted>
  <dcterms:modified xsi:type="dcterms:W3CDTF">2025-06-19T11:51:43Z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FEE5A86D7C504268A8F9157516219335_13</vt:lpwstr>
  </property>
  <property fmtid="{D5CDD505-2E9C-101B-9397-08002B2CF9AE}" pid="4" name="KSOTemplateDocerSaveRecord">
    <vt:lpwstr>eyJoZGlkIjoiZjBkMjI4M2FlY2ExYWNjNTZmOWZkNmQ0MjM5N2RmNzciLCJ1c2VySWQiOiIyODQ2NzkzNTAifQ==</vt:lpwstr>
  </property>
</Properties>
</file>