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版本号：ZD0525-033ZGX.1BD220250724001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中创区A5-01地块新建小学项目（暂定名）及中创区F6-02地块新建小学项目（暂定名）供热服务(三次)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ZD0525-033ZGX.1BD2</w:t>
      </w:r>
      <w:r>
        <w:br/>
      </w:r>
      <w:r>
        <w:br/>
      </w:r>
      <w:r>
        <w:br/>
      </w:r>
    </w:p>
    <w:p>
      <w:pPr>
        <w:pStyle w:val="null3"/>
        <w:jc w:val="center"/>
        <w:outlineLvl w:val="5"/>
      </w:pPr>
      <w:r>
        <w:rPr>
          <w:rFonts w:ascii="仿宋_GB2312" w:hAnsi="仿宋_GB2312" w:cs="仿宋_GB2312" w:eastAsia="仿宋_GB2312"/>
          <w:sz w:val="15"/>
          <w:b/>
        </w:rPr>
        <w:t xml:space="preserve"> 西安高新技术产业开发区公共项目建设管理中心</w:t>
      </w:r>
    </w:p>
    <w:p>
      <w:pPr>
        <w:pStyle w:val="null3"/>
        <w:jc w:val="center"/>
        <w:outlineLvl w:val="5"/>
      </w:pPr>
      <w:r>
        <w:rPr>
          <w:rFonts w:ascii="仿宋_GB2312" w:hAnsi="仿宋_GB2312" w:cs="仿宋_GB2312" w:eastAsia="仿宋_GB2312"/>
          <w:sz w:val="15"/>
          <w:b/>
        </w:rPr>
        <w:t>正大方略工程咨询有限公司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委托，拟对</w:t>
      </w:r>
      <w:r>
        <w:rPr>
          <w:rFonts w:ascii="仿宋_GB2312" w:hAnsi="仿宋_GB2312" w:cs="仿宋_GB2312" w:eastAsia="仿宋_GB2312"/>
        </w:rPr>
        <w:t>中创区A5-01地块新建小学项目（暂定名）及中创区F6-02地块新建小学项目（暂定名）供热服务(三次)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ZD0525-033ZGX.1BD2</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中创区A5-01地块新建小学项目（暂定名）及中创区F6-02地块新建小学项目（暂定名）供热服务(三次)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中创区A5-01地块新建小学项目（暂定名）总建筑面积31526.71平方米，主要建设内容包括教学楼、运动场、地下停车场等及相关配套设施。中创区F6-02地块新建小学项目（暂定名）总建筑面积38978.45平方米，主要建设内容包括教学楼、运动场、地下停车场等及相关配套设施。本次招标范围为中创区A5-01地块新建小学项目(暂定名)及中创区F6-02地块新建小学项目(暂定名)换热站内设备、设施的供货、安装、供暖服务等。确保所有设备运转正常，本采暖季具备供热条件，按期实现供热投运。中创区A5-01地块新建小学项目(暂定名)项目用热面积暂定31526.71平方米，中创区F6-02地块新建小学项目(暂定名) 项目用热面积暂定38978.45平方米。</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采购包1（中创区A5-01地块新建小学项目（暂定名）及中创区F6-02地块新建小学项目（暂定名）供热服务）：属于专门面向中小企业采购。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证明：供应商需提供合法有效的《西安市集中供热经营许可证》。注：根据《西安市集中供热条例》规定，供应商跨区县经营的，需提供由市集中供热行政主管部门核发《西安市集中供热经营许可证》。</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 xml:space="preserve"> 西安高新技术产业开发区公共项目建设管理中心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西安市锦业路1号都市之门A座12楼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029-85952800</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陕西省西安市雁塔区南二环东段22号凯森盛世1号A座27层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唐一萌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18066549983</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采购包1：5,710,917.96元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采购包1：5,710,917.96元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的计算方法：以成交金额为基数，根据国家发改委《招标代理服务收费管理暂行办法》（计价格[2002]1980号）以及《关于进一步放开建设项目专项业务服务价格的通知》（发改价格[2015]299号）规定的标准下浮45%收取。单次代理报酬不足3000元的按3000元计算。 2、代理服务费可以采取现金、支票、银行汇票、电汇、网银等方式缴纳。 3、代理服务费缴纳信息： 银行户名：正大方略工程咨询有限公司西安高新分公司，开户银行：交通银行西安高新区科技支行，账号：611301134018010159350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中创区</w:t>
      </w:r>
      <w:r>
        <w:rPr>
          <w:rFonts w:ascii="仿宋_GB2312" w:hAnsi="仿宋_GB2312" w:cs="仿宋_GB2312" w:eastAsia="仿宋_GB2312"/>
        </w:rPr>
        <w:t>A5-01地块新建小学项目（暂定名）总建筑面积31526.71平方米，主要建设内容包括教学楼、运动场、地下停车场等及相关配套设施。中创区F6-02地块新建小学项目（暂定名）总建筑面积38978.45平方米，主要建设内容包括教学楼、运动场、地下停车场等及相关配套设施。本次招标范围为中创区A5-01地块新建小学项目(暂定名)及中创区F6-02地块新建小学项目(暂定名)换热站内设备、设施的供货、安装、供暖服务等。确保所有设备运转正常，本采暖季具备供热条件，按期实现供热投运。中创区A5-01地块新建小学项目(暂定名)项目用热面积暂定31526.71平方米，中创区F6-02地块新建小学项目(暂定名) 项目用热面积暂定38978.45平方米。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5,710,917.96</w:t>
      </w:r>
    </w:p>
    <w:p>
      <w:pPr>
        <w:pStyle w:val="null3"/>
      </w:pPr>
      <w:r>
        <w:rPr>
          <w:rFonts w:ascii="仿宋_GB2312" w:hAnsi="仿宋_GB2312" w:cs="仿宋_GB2312" w:eastAsia="仿宋_GB2312"/>
        </w:rPr>
        <w:t>采购包最高限价（元）: 5,710,917.96</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供热服务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5,710,917.96</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标的名称：供热服务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1"/>
              </w:rPr>
              <w:t>项目概况：</w:t>
            </w:r>
            <w:r>
              <w:rPr>
                <w:rFonts w:ascii="仿宋_GB2312" w:hAnsi="仿宋_GB2312" w:cs="仿宋_GB2312" w:eastAsia="仿宋_GB2312"/>
                <w:sz w:val="20"/>
              </w:rPr>
              <w:t>中创区</w:t>
            </w:r>
            <w:r>
              <w:rPr>
                <w:rFonts w:ascii="仿宋_GB2312" w:hAnsi="仿宋_GB2312" w:cs="仿宋_GB2312" w:eastAsia="仿宋_GB2312"/>
                <w:sz w:val="20"/>
              </w:rPr>
              <w:t>A5-01地块新建小学项目（暂定名）总建筑面积</w:t>
            </w:r>
            <w:r>
              <w:rPr>
                <w:rFonts w:ascii="仿宋_GB2312" w:hAnsi="仿宋_GB2312" w:cs="仿宋_GB2312" w:eastAsia="仿宋_GB2312"/>
                <w:sz w:val="20"/>
              </w:rPr>
              <w:t>31526.71</w:t>
            </w:r>
            <w:r>
              <w:rPr>
                <w:rFonts w:ascii="仿宋_GB2312" w:hAnsi="仿宋_GB2312" w:cs="仿宋_GB2312" w:eastAsia="仿宋_GB2312"/>
                <w:sz w:val="20"/>
              </w:rPr>
              <w:t>平方米，主要建设内容包括教学楼、运动场、地下停车场等及相关配套设施。中创区</w:t>
            </w:r>
            <w:r>
              <w:rPr>
                <w:rFonts w:ascii="仿宋_GB2312" w:hAnsi="仿宋_GB2312" w:cs="仿宋_GB2312" w:eastAsia="仿宋_GB2312"/>
                <w:sz w:val="20"/>
              </w:rPr>
              <w:t>F6-02地块新建小学项目（暂定名）总建筑面积38978.45平方米，主要建设内容包括教学楼、运动场、地下停车场等及相关配套设施。</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pPr>
            <w:r>
              <w:rPr>
                <w:rFonts w:ascii="仿宋_GB2312" w:hAnsi="仿宋_GB2312" w:cs="仿宋_GB2312" w:eastAsia="仿宋_GB2312"/>
                <w:sz w:val="21"/>
              </w:rPr>
              <w:t>项目服务内容：</w:t>
            </w:r>
            <w:r>
              <w:rPr>
                <w:rFonts w:ascii="仿宋_GB2312" w:hAnsi="仿宋_GB2312" w:cs="仿宋_GB2312" w:eastAsia="仿宋_GB2312"/>
                <w:sz w:val="20"/>
              </w:rPr>
              <w:t>本次招标范围为</w:t>
            </w:r>
            <w:r>
              <w:rPr>
                <w:rFonts w:ascii="仿宋_GB2312" w:hAnsi="仿宋_GB2312" w:cs="仿宋_GB2312" w:eastAsia="仿宋_GB2312"/>
                <w:sz w:val="20"/>
              </w:rPr>
              <w:t>中创区</w:t>
            </w:r>
            <w:r>
              <w:rPr>
                <w:rFonts w:ascii="仿宋_GB2312" w:hAnsi="仿宋_GB2312" w:cs="仿宋_GB2312" w:eastAsia="仿宋_GB2312"/>
                <w:sz w:val="20"/>
              </w:rPr>
              <w:t>A5-01地块新建小学项目(暂定名)及中创区F6-02地块新建小学项目(暂定名)换热站内设备、设施的供货、安装、供暖服务等，确保所有设备运转正常，本采暖季具备供热条件，按期实现供热投运。中创区A5-01地块新建小学项目(暂定名)项目用热面积暂定31526.71平方米，中创区F6-02地块新建小学项目(暂定名) 项目用热面积暂定38978.45平方米。</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本项目最高限价：</w:t>
            </w:r>
            <w:r>
              <w:rPr>
                <w:rFonts w:ascii="仿宋_GB2312" w:hAnsi="仿宋_GB2312" w:cs="仿宋_GB2312" w:eastAsia="仿宋_GB2312"/>
                <w:sz w:val="20"/>
              </w:rPr>
              <w:t>¥5710917.96</w:t>
            </w:r>
            <w:r>
              <w:rPr>
                <w:rFonts w:ascii="仿宋_GB2312" w:hAnsi="仿宋_GB2312" w:cs="仿宋_GB2312" w:eastAsia="仿宋_GB2312"/>
                <w:sz w:val="20"/>
              </w:rPr>
              <w:t>元</w:t>
            </w:r>
            <w:r>
              <w:rPr>
                <w:rFonts w:ascii="仿宋_GB2312" w:hAnsi="仿宋_GB2312" w:cs="仿宋_GB2312" w:eastAsia="仿宋_GB2312"/>
                <w:sz w:val="20"/>
              </w:rPr>
              <w:t>；供热服务最高限价单价为</w:t>
            </w:r>
            <w:r>
              <w:rPr>
                <w:rFonts w:ascii="仿宋_GB2312" w:hAnsi="仿宋_GB2312" w:cs="仿宋_GB2312" w:eastAsia="仿宋_GB2312"/>
                <w:sz w:val="20"/>
              </w:rPr>
              <w:t>81.00元/平方米；中创区A5-01地块新建小学项目(暂定名)项目最高限价暂定总价为¥:2553663.51元；中创区F6-02地块新建小学项目(暂定名)项目最高限价暂定总价为¥:3157254.45元。</w:t>
            </w:r>
            <w:r>
              <w:rPr>
                <w:rFonts w:ascii="仿宋_GB2312" w:hAnsi="仿宋_GB2312" w:cs="仿宋_GB2312" w:eastAsia="仿宋_GB2312"/>
                <w:sz w:val="20"/>
              </w:rPr>
              <w:t>供应商报价</w:t>
            </w:r>
            <w:r>
              <w:rPr>
                <w:rFonts w:ascii="仿宋_GB2312" w:hAnsi="仿宋_GB2312" w:cs="仿宋_GB2312" w:eastAsia="仿宋_GB2312"/>
                <w:sz w:val="20"/>
              </w:rPr>
              <w:t>总价、单价、及各学校总价均不得超出最高限价中对应的金额，</w:t>
            </w:r>
            <w:r>
              <w:rPr>
                <w:rFonts w:ascii="仿宋_GB2312" w:hAnsi="仿宋_GB2312" w:cs="仿宋_GB2312" w:eastAsia="仿宋_GB2312"/>
                <w:sz w:val="20"/>
              </w:rPr>
              <w:t>超出最高限价的，作为不实质性响应采购文件，按无效投标处理。</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标准规范：</w:t>
            </w:r>
          </w:p>
          <w:p>
            <w:pPr>
              <w:pStyle w:val="null3"/>
              <w:ind w:firstLine="400"/>
              <w:jc w:val="both"/>
            </w:pPr>
            <w:r>
              <w:rPr>
                <w:rFonts w:ascii="仿宋_GB2312" w:hAnsi="仿宋_GB2312" w:cs="仿宋_GB2312" w:eastAsia="仿宋_GB2312"/>
                <w:sz w:val="20"/>
              </w:rPr>
              <w:t>本项目施工及验收标准以国家最新颁布的相关标准、规范为依据，通过相关部门验收。</w:t>
            </w:r>
          </w:p>
          <w:p>
            <w:pPr>
              <w:pStyle w:val="null3"/>
              <w:ind w:firstLine="400"/>
              <w:jc w:val="both"/>
            </w:pPr>
            <w:r>
              <w:rPr>
                <w:rFonts w:ascii="仿宋_GB2312" w:hAnsi="仿宋_GB2312" w:cs="仿宋_GB2312" w:eastAsia="仿宋_GB2312"/>
                <w:sz w:val="20"/>
              </w:rPr>
              <w:t>《民用建筑供暖通风与空气调节设计规范》</w:t>
            </w:r>
            <w:r>
              <w:rPr>
                <w:rFonts w:ascii="仿宋_GB2312" w:hAnsi="仿宋_GB2312" w:cs="仿宋_GB2312" w:eastAsia="仿宋_GB2312"/>
                <w:sz w:val="20"/>
              </w:rPr>
              <w:t>(GB50736-2012)</w:t>
            </w:r>
          </w:p>
          <w:p>
            <w:pPr>
              <w:pStyle w:val="null3"/>
              <w:ind w:firstLine="400"/>
              <w:jc w:val="both"/>
            </w:pPr>
            <w:r>
              <w:rPr>
                <w:rFonts w:ascii="仿宋_GB2312" w:hAnsi="仿宋_GB2312" w:cs="仿宋_GB2312" w:eastAsia="仿宋_GB2312"/>
                <w:sz w:val="20"/>
              </w:rPr>
              <w:t>《城镇地热供热工程技术规范》</w:t>
            </w:r>
            <w:r>
              <w:rPr>
                <w:rFonts w:ascii="仿宋_GB2312" w:hAnsi="仿宋_GB2312" w:cs="仿宋_GB2312" w:eastAsia="仿宋_GB2312"/>
                <w:sz w:val="20"/>
              </w:rPr>
              <w:t>(CJJ138-2010)</w:t>
            </w:r>
          </w:p>
          <w:p>
            <w:pPr>
              <w:pStyle w:val="null3"/>
              <w:ind w:firstLine="400"/>
              <w:jc w:val="both"/>
            </w:pPr>
            <w:r>
              <w:rPr>
                <w:rFonts w:ascii="仿宋_GB2312" w:hAnsi="仿宋_GB2312" w:cs="仿宋_GB2312" w:eastAsia="仿宋_GB2312"/>
                <w:sz w:val="20"/>
              </w:rPr>
              <w:t>《城镇供热管网设计规范》</w:t>
            </w:r>
            <w:r>
              <w:rPr>
                <w:rFonts w:ascii="仿宋_GB2312" w:hAnsi="仿宋_GB2312" w:cs="仿宋_GB2312" w:eastAsia="仿宋_GB2312"/>
                <w:sz w:val="20"/>
              </w:rPr>
              <w:t>(CJJ34-2022)</w:t>
            </w:r>
          </w:p>
          <w:p>
            <w:pPr>
              <w:pStyle w:val="null3"/>
              <w:ind w:firstLine="400"/>
              <w:jc w:val="both"/>
            </w:pPr>
            <w:r>
              <w:rPr>
                <w:rFonts w:ascii="仿宋_GB2312" w:hAnsi="仿宋_GB2312" w:cs="仿宋_GB2312" w:eastAsia="仿宋_GB2312"/>
                <w:sz w:val="20"/>
              </w:rPr>
              <w:t>《城镇供热管网工程施工及验收规范》</w:t>
            </w:r>
            <w:r>
              <w:rPr>
                <w:rFonts w:ascii="仿宋_GB2312" w:hAnsi="仿宋_GB2312" w:cs="仿宋_GB2312" w:eastAsia="仿宋_GB2312"/>
                <w:sz w:val="20"/>
              </w:rPr>
              <w:t>(CJJ28-2014)</w:t>
            </w:r>
          </w:p>
          <w:p>
            <w:pPr>
              <w:pStyle w:val="null3"/>
              <w:ind w:firstLine="400"/>
              <w:jc w:val="both"/>
            </w:pPr>
            <w:r>
              <w:rPr>
                <w:rFonts w:ascii="仿宋_GB2312" w:hAnsi="仿宋_GB2312" w:cs="仿宋_GB2312" w:eastAsia="仿宋_GB2312"/>
                <w:sz w:val="20"/>
              </w:rPr>
              <w:t>《供热工程项目规范》</w:t>
            </w:r>
            <w:r>
              <w:rPr>
                <w:rFonts w:ascii="仿宋_GB2312" w:hAnsi="仿宋_GB2312" w:cs="仿宋_GB2312" w:eastAsia="仿宋_GB2312"/>
                <w:sz w:val="20"/>
              </w:rPr>
              <w:t>(GB55010-2021)</w:t>
            </w:r>
          </w:p>
          <w:p>
            <w:pPr>
              <w:pStyle w:val="null3"/>
              <w:ind w:firstLine="400"/>
              <w:jc w:val="both"/>
            </w:pPr>
            <w:r>
              <w:rPr>
                <w:rFonts w:ascii="仿宋_GB2312" w:hAnsi="仿宋_GB2312" w:cs="仿宋_GB2312" w:eastAsia="仿宋_GB2312"/>
                <w:sz w:val="20"/>
              </w:rPr>
              <w:t>《供热计量技术规程》</w:t>
            </w:r>
            <w:r>
              <w:rPr>
                <w:rFonts w:ascii="仿宋_GB2312" w:hAnsi="仿宋_GB2312" w:cs="仿宋_GB2312" w:eastAsia="仿宋_GB2312"/>
                <w:sz w:val="20"/>
              </w:rPr>
              <w:t>(JGJ173-2009)</w:t>
            </w:r>
          </w:p>
          <w:p>
            <w:pPr>
              <w:pStyle w:val="null3"/>
              <w:ind w:firstLine="400"/>
              <w:jc w:val="both"/>
            </w:pPr>
            <w:r>
              <w:rPr>
                <w:rFonts w:ascii="仿宋_GB2312" w:hAnsi="仿宋_GB2312" w:cs="仿宋_GB2312" w:eastAsia="仿宋_GB2312"/>
                <w:sz w:val="20"/>
              </w:rPr>
              <w:t>《供热工程项目规范》</w:t>
            </w:r>
            <w:r>
              <w:rPr>
                <w:rFonts w:ascii="仿宋_GB2312" w:hAnsi="仿宋_GB2312" w:cs="仿宋_GB2312" w:eastAsia="仿宋_GB2312"/>
                <w:sz w:val="20"/>
              </w:rPr>
              <w:t>(GB55010-2021)</w:t>
            </w:r>
          </w:p>
          <w:p>
            <w:pPr>
              <w:pStyle w:val="null3"/>
              <w:ind w:firstLine="400"/>
              <w:jc w:val="both"/>
            </w:pPr>
            <w:r>
              <w:rPr>
                <w:rFonts w:ascii="仿宋_GB2312" w:hAnsi="仿宋_GB2312" w:cs="仿宋_GB2312" w:eastAsia="仿宋_GB2312"/>
                <w:sz w:val="20"/>
              </w:rPr>
              <w:t>《板式热交换器》</w:t>
            </w:r>
            <w:r>
              <w:rPr>
                <w:rFonts w:ascii="仿宋_GB2312" w:hAnsi="仿宋_GB2312" w:cs="仿宋_GB2312" w:eastAsia="仿宋_GB2312"/>
                <w:sz w:val="20"/>
              </w:rPr>
              <w:t>GB/T 16409</w:t>
            </w:r>
          </w:p>
          <w:p>
            <w:pPr>
              <w:pStyle w:val="null3"/>
              <w:jc w:val="both"/>
            </w:pPr>
            <w:r>
              <w:rPr>
                <w:rFonts w:ascii="仿宋_GB2312" w:hAnsi="仿宋_GB2312" w:cs="仿宋_GB2312" w:eastAsia="仿宋_GB2312"/>
                <w:sz w:val="20"/>
              </w:rPr>
              <w:t>其它国家现行有关规范及设计相关图纸。</w:t>
            </w:r>
          </w:p>
          <w:p>
            <w:pPr>
              <w:pStyle w:val="null3"/>
              <w:jc w:val="both"/>
            </w:pP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0"/>
              </w:rPr>
              <w:t>质量及技术要求</w:t>
            </w:r>
            <w:r>
              <w:rPr>
                <w:rFonts w:ascii="仿宋_GB2312" w:hAnsi="仿宋_GB2312" w:cs="仿宋_GB2312" w:eastAsia="仿宋_GB2312"/>
                <w:sz w:val="20"/>
              </w:rPr>
              <w:t>：</w:t>
            </w:r>
          </w:p>
          <w:p>
            <w:pPr>
              <w:pStyle w:val="null3"/>
              <w:jc w:val="both"/>
            </w:pPr>
            <w:r>
              <w:rPr>
                <w:rFonts w:ascii="仿宋_GB2312" w:hAnsi="仿宋_GB2312" w:cs="仿宋_GB2312" w:eastAsia="仿宋_GB2312"/>
                <w:sz w:val="24"/>
                <w:b/>
              </w:rPr>
              <w:t>1.热源</w:t>
            </w:r>
          </w:p>
          <w:p>
            <w:pPr>
              <w:pStyle w:val="null3"/>
              <w:ind w:firstLine="400"/>
              <w:jc w:val="both"/>
            </w:pPr>
            <w:r>
              <w:rPr>
                <w:rFonts w:ascii="仿宋_GB2312" w:hAnsi="仿宋_GB2312" w:cs="仿宋_GB2312" w:eastAsia="仿宋_GB2312"/>
                <w:sz w:val="20"/>
              </w:rPr>
              <w:t>一次热源参数由热力公司二次深化设计完成，采暖二次侧热媒：</w:t>
            </w:r>
            <w:r>
              <w:rPr>
                <w:rFonts w:ascii="仿宋_GB2312" w:hAnsi="仿宋_GB2312" w:cs="仿宋_GB2312" w:eastAsia="仿宋_GB2312"/>
                <w:sz w:val="20"/>
              </w:rPr>
              <w:t>45/35℃热水。</w:t>
            </w:r>
          </w:p>
          <w:p>
            <w:pPr>
              <w:pStyle w:val="null3"/>
              <w:jc w:val="both"/>
            </w:pPr>
            <w:r>
              <w:rPr>
                <w:rFonts w:ascii="仿宋_GB2312" w:hAnsi="仿宋_GB2312" w:cs="仿宋_GB2312" w:eastAsia="仿宋_GB2312"/>
                <w:sz w:val="24"/>
                <w:b/>
              </w:rPr>
              <w:t>2.换热站</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1）设备选型应适配热源特性（如热水、蒸汽）及负荷需求，确保传热效率与系统长期运行稳定性；核心部件需采用耐腐蚀、耐高温材质，结构设计便于维护清洗。</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2）出板式换热器前的管道上均须设置压力表、温度表，进换热器前的管道上均设除污器，除污器前后均设就地压力表。</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3）换热站循环水泵吸入口侧母管上设置安全阀，根据各分区机组循环泵入口介质运行的最高压力（补水泵扬程）加5米余量确认安全阀整定压力。</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4）换热站制水设备采用双阀双罐或单阀双罐形式软水器，保证连续供水。</w:t>
            </w:r>
          </w:p>
          <w:p>
            <w:pPr>
              <w:pStyle w:val="null3"/>
              <w:ind w:firstLine="400"/>
              <w:jc w:val="both"/>
            </w:pPr>
            <w:r>
              <w:rPr>
                <w:rFonts w:ascii="仿宋_GB2312" w:hAnsi="仿宋_GB2312" w:cs="仿宋_GB2312" w:eastAsia="仿宋_GB2312"/>
                <w:sz w:val="20"/>
              </w:rPr>
              <w:t>换热设备、阀门、补偿器等采用可拆卸式保温</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5）站内软化水箱安装液位传感器、自动上水球阀。实现自动水箱上水，并且具备水箱水位异常报警及自动控制安全运行功能。</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6）水箱采用304不锈钢材质、软水器采用玻璃钢材质。</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7）所有与设备连接的管道，应在设备就位后施工。设备与管道连接应采用柔性连接。</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8）供暖水系统水质应符合现行国家标准《供热工程项目规范》GB55010-2021第2.2.3条。</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9）供暖水系统的补水采用软化水，软化水箱上设电子液位计，根据水箱水位的高低控制钠离子水处理器上电磁阀的开关。</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10）建筑物热力入口调压及计量装置设在各单体计量间内，做法采用带热计量的自力式压力控制阀的供暖入口装置。</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11）供暖系统在正常工作的状态下，手动反冲洗除污器应能随时反冲排污确保系统的正常运行。除污器两端设置关断阀门，关断阀门两端设旁通管路及关断阀门。排污口串联安装两道柱塞阀，阀后接至排水沟。</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12）机房内主要管道应汉字标识并标注介质流向。</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13）换热站每台换热器供热供水管道上设有电动二通调节间,根据室外温度的变化通过气候补偿器调节采暖供水温度。</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14）采用变频循环水泵,根据供回水管压差,调节供水量。</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15）供暖系统设有热计量装置,自来水总管及总补水均安装流量计。</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16）循环及补水泵均设在机房内,并且考虑减振隔振措施。</w:t>
            </w:r>
          </w:p>
          <w:p>
            <w:pPr>
              <w:pStyle w:val="null3"/>
              <w:jc w:val="both"/>
            </w:pPr>
            <w:r>
              <w:rPr>
                <w:rFonts w:ascii="仿宋_GB2312" w:hAnsi="仿宋_GB2312" w:cs="仿宋_GB2312" w:eastAsia="仿宋_GB2312"/>
                <w:sz w:val="24"/>
                <w:b/>
              </w:rPr>
              <w:t>3.供暖管道施工</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1）管道穿外墙时应予留防水套管，做法详见01R409。所有采暖管道穿车库外墙处均预留柔性防水套管。</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 焊接管道时严防铁绣、焊渣等物品掉入管内；焊缝应置于直管段，焊缝之下不得设置管道支架。</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3）管道弯头小于DN150采用煨弯(R=2.5DN)，大于等于DN150采用热压预制弯头(R=1.5DN)，管道大小头接头形式采用底平连接，管材不得低于Q235B。</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4）一次热源侧管道：当DN≤50时，厚度为50mm；65≤DN≤150时，厚度为60mm；200≤DN≤500时，厚度为70mm。</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供暖管道穿越墙身和楼板时，保温层不能间断；管道的支、吊、托架，必须设置于保温层的外部，在穿过支、吊、托架处，应设置衬垫。衬垫的承压强度应满足管道全重，且应采用不燃与难燃硬质绝热材料或经防腐处理的木衬垫，衬垫的厚度不应小于绝热层厚度，宽度应大于或等于支、吊架支撑面的宽度。在墙体或楼板的两侧应设置夹板,中间的空间应以松散保温材料岩棉、矿棉或玻璃棉填充。</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5）与水泵连接的进、出口水管上及制冷机等连接的进、出口水管上，均装设耐高温不锈钢软管接头，规格同管径。</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6）系统水压试验应在保温前进行，系统应在试验压力下1h内压力降不大于0.05MPa，然后降压工作压力的1.15倍，稳压2h压力降不大于0.03MPa，同时各连接处不渗、不漏为合格。其余各项按《建筑给水排水及采暖工程施工质量验收规范》GB50242-2002的相关规定确定。</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7）经试压合格后应对系统进行反复冲洗,直至排出水不夹带泥沙铁屑等杂质且水色不浑浊时方为合格，在进行冲洗之前，应先除去过滤器的滤网,待冲洗工作结束后再行装上。管路系统冲洗时水流不得流经所有设备。管道冲洗完毕应通水、加热，进行试运行和调试。当不具备加热条件时，应延期进行。</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8）供暖管道穿越防火墙时，应预钢埋套管，并在穿墙处一侧设管道固定支架，管道与套管之间的空隙采用耐火材料封堵。</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9）保温管道、设备等，在表面除锈后刷防锈底漆两遍。</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10）管道涂色：管道保温完毕后，其外表面应贴不同颜色的色环，色环宽度200mm，色环间距2~3m。</w:t>
            </w:r>
          </w:p>
          <w:p>
            <w:pPr>
              <w:pStyle w:val="null3"/>
              <w:jc w:val="both"/>
            </w:pPr>
            <w:r>
              <w:rPr>
                <w:rFonts w:ascii="仿宋_GB2312" w:hAnsi="仿宋_GB2312" w:cs="仿宋_GB2312" w:eastAsia="仿宋_GB2312"/>
                <w:sz w:val="24"/>
                <w:b/>
              </w:rPr>
              <w:t>4.抗震要求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1）本工程抗震设防烈度为8度，依据《建筑与市政工程抗震通用规范（GB55002-2021）、《建筑机电工程抗震设计规范》（GB50981-2014）等规范要求必须进行抗震设计。</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2）建筑的非结构构件及建筑附属机电设备，其自身及与结构主体的连接应进行抗震设防。</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3）建筑附属机电设备不应设置在可能致使其功能障碍等二次灾害的部位; 设防地震下需要连续工作的附属设备，应设置在建筑结构地震反应较小的部位。</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4）管道和设备的洞口设置，应减少对主要承重结构构件的削弱; 洞口边缘应有补强措施。管道和设备与建筑结构的连接，应具有足够的变形能力，以满足相对位移的需要。</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5）建筑附属机电设备的基座或支架，以及相关连接件和锚固件应具有足够的刚度和强度，应能将设备承受的地震作用全部传递到建筑结构上。</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6）埋地管道应采用延性良好的管材或沿线设置柔性连接措施；管道与构筑物或固定设备连接时，应采用柔性连接构件。管道穿过建（构）筑物的墙体或基础时：应在穿管的墙体或基础上设置套管，穿管与套管之间的间隙应用柔性防腐、防水材料密封；当穿越的管道与墙体或基础嵌固时，应在穿越的管道上就近设置柔性连接装置。</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穿越隔震层的一般管线在隔震层处应采用柔性措施，其预留的水平变形量不应小于隔离缝宽度；穿越隔震层的重要管道可能泄露有害介质或可燃介质的管道，在隔震层处应采用柔性措施，其预留的水平变形量不应小于隔离缝宽度的1.4倍。</w:t>
            </w:r>
          </w:p>
          <w:p>
            <w:pPr>
              <w:pStyle w:val="null3"/>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配合甲方项目进度时间需求并满足甲方用热时间需求。</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甲方于合同签订之日起（乙方须先向甲方开具符合甲方财务要求的等额发票及付款申请）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按照采购文件要求及合同约定执行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为保障政府采购电子化交易平台项目实施，供应商需要在线提交所有通过电子化交易平台实施的政府采购项目的响应文件，成交单位领取成交通知书时须提交响应文件正本壹套、副本叁套、电子版(U盘贰套）。纸质响应文件应与电子响应文件保持一致。递交文件地点:西安市雁塔区南二环东段22号（凯森盛世1号）A座2611室。 2.如采购文件中融资相关内容与新政策要求有出入，按照最新要求执行。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（1）供应商应具有独立承担民事责任的能力：提供供应商的营业执照等证明文件，自然人的身份证明等扫描件； （2）供应商依法缴纳税收、缴纳社会保障金、具有履行合同所必需的设备和专业技术能力、参加政府采购活动前三年内，在经营活动中没有重大违法记录，供应商按照采购文件提供的《基本资格条件承诺函》进行承诺； （3）未被列入失信被执行人、重大税收违法案件当事人名单及政府采购严重违法失信行为记录名单的证明材料：提供《基本资格条件承诺函》； （4）供应商需在项目电子化交易系统中按要求填写《响应函》完成承诺并进行电子签章。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提供《基本资格条件承诺函》。</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法定代表人直接参加采购活动的，须出具法定代表人身份证明及法人身份证；法定代表人授权代表参加采购活动的，须出具法定代表人授权委托书和被授权人身份证及该人员在本单位缴纳社保记录证明(近3个月)。</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供应商资质证明</w:t>
            </w:r>
          </w:p>
        </w:tc>
        <w:tc>
          <w:tcPr>
            <w:tcW w:type="dxa" w:w="3322"/>
          </w:tcPr>
          <w:p>
            <w:pPr>
              <w:pStyle w:val="null3"/>
            </w:pPr>
            <w:r>
              <w:rPr>
                <w:rFonts w:ascii="仿宋_GB2312" w:hAnsi="仿宋_GB2312" w:cs="仿宋_GB2312" w:eastAsia="仿宋_GB2312"/>
              </w:rPr>
              <w:t>供应商需提供合法有效的《西安市集中供热经营许可证》。注：根据《西安市集中供热条例》规定，供应商跨区县经营的，需提供由市集中供热行政主管部门核发《西安市集中供热经营许可证》。</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⑨《关于扩大政府采购支持绿色建材促进建筑品质提升政策实施范围的通知》（财库〔2022〕35号）⑩本项目为专门面向中、小型企业采购项目</w:t>
            </w:r>
          </w:p>
        </w:tc>
        <w:tc>
          <w:tcPr>
            <w:tcW w:type="dxa" w:w="1661"/>
          </w:tcPr>
          <w:p>
            <w:pPr>
              <w:pStyle w:val="null3"/>
            </w:pPr>
            <w:r>
              <w:rPr>
                <w:rFonts w:ascii="仿宋_GB2312" w:hAnsi="仿宋_GB2312" w:cs="仿宋_GB2312" w:eastAsia="仿宋_GB2312"/>
              </w:rPr>
              <w:t>文件封面.docx 中小企业声明函 合同条款偏离表.docx 报价表 技术、服务及其他商务要求应答表.docx 供应商应提交的相关资格证明材料.docx 残疾人福利性单位声明函 技术方案响应说明.docx 标的清单 其他承诺.docx 响应函 首次报价表.docx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文件封面.docx 中小企业声明函 合同条款偏离表.docx 报价表 二次报价表.docx 技术、服务及其他商务要求应答表.docx 供应商应提交的相关资格证明材料.docx 残疾人福利性单位声明函 技术方案响应说明.docx 标的清单 其他承诺.docx 响应函 首次报价表.docx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二次报价表.docx 标的清单 报价表 响应函 首次报价表.docx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文件封面.docx 中小企业声明函 合同条款偏离表.docx 报价表 二次报价表.docx 技术、服务及其他商务要求应答表.docx 供应商应提交的相关资格证明材料.docx 残疾人福利性单位声明函 技术方案响应说明.docx 标的清单 其他承诺.docx 响应函 首次报价表.docx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其他符合性审查</w:t>
            </w:r>
          </w:p>
        </w:tc>
        <w:tc>
          <w:tcPr>
            <w:tcW w:type="dxa" w:w="3322"/>
          </w:tcPr>
          <w:p>
            <w:pPr>
              <w:pStyle w:val="null3"/>
            </w:pPr>
            <w:r>
              <w:rPr>
                <w:rFonts w:ascii="仿宋_GB2312" w:hAnsi="仿宋_GB2312" w:cs="仿宋_GB2312" w:eastAsia="仿宋_GB2312"/>
              </w:rPr>
              <w:t>1、响应有效期达到采购文件要求；2、供应商的响应报价（总价、单价、及各学校总价）均不得超出采购文件最高限价中对应的金额；3、其他实质性要求须符合法律、法规和采购文件中的规定；4、响应文件的签署、盖章须按采购文件要求；5、供应商名称与营业执照一致；6、响应文件中合同条款未出现负偏离且文件的内容中未附有采购人不能接受的附加条件；7、响应文件格式符合采购文件的要求。</w:t>
            </w:r>
          </w:p>
        </w:tc>
        <w:tc>
          <w:tcPr>
            <w:tcW w:type="dxa" w:w="1661"/>
          </w:tcPr>
          <w:p>
            <w:pPr>
              <w:pStyle w:val="null3"/>
            </w:pPr>
            <w:r>
              <w:rPr>
                <w:rFonts w:ascii="仿宋_GB2312" w:hAnsi="仿宋_GB2312" w:cs="仿宋_GB2312" w:eastAsia="仿宋_GB2312"/>
              </w:rPr>
              <w:t>文件封面.docx 中小企业声明函 合同条款偏离表.docx 报价表 二次报价表.docx 技术、服务及其他商务要求应答表.docx 供应商应提交的相关资格证明材料.docx 残疾人福利性单位声明函 技术方案响应说明.docx 标的清单 其他承诺.docx 响应函 首次报价表.docx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详见附件：首次报价表.docx</w:t>
      </w:r>
    </w:p>
    <w:p>
      <w:pPr>
        <w:pStyle w:val="null3"/>
        <w:ind w:firstLine="960"/>
      </w:pPr>
      <w:r>
        <w:rPr>
          <w:rFonts w:ascii="仿宋_GB2312" w:hAnsi="仿宋_GB2312" w:cs="仿宋_GB2312" w:eastAsia="仿宋_GB2312"/>
        </w:rPr>
        <w:t>详见附件：二次报价表.docx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详见附件：技术方案响应说明.docx</w:t>
      </w:r>
    </w:p>
    <w:p>
      <w:pPr>
        <w:pStyle w:val="null3"/>
        <w:ind w:firstLine="960"/>
      </w:pPr>
      <w:r>
        <w:rPr>
          <w:rFonts w:ascii="仿宋_GB2312" w:hAnsi="仿宋_GB2312" w:cs="仿宋_GB2312" w:eastAsia="仿宋_GB2312"/>
        </w:rPr>
        <w:t>详见附件：合同条款偏离表.docx</w:t>
      </w:r>
    </w:p>
    <w:p>
      <w:pPr>
        <w:pStyle w:val="null3"/>
        <w:ind w:firstLine="960"/>
      </w:pPr>
      <w:r>
        <w:rPr>
          <w:rFonts w:ascii="仿宋_GB2312" w:hAnsi="仿宋_GB2312" w:cs="仿宋_GB2312" w:eastAsia="仿宋_GB2312"/>
        </w:rPr>
        <w:t>详见附件：技术、服务及其他商务要求应答表.docx</w:t>
      </w:r>
    </w:p>
    <w:p>
      <w:pPr>
        <w:pStyle w:val="null3"/>
        <w:ind w:firstLine="960"/>
      </w:pPr>
      <w:r>
        <w:rPr>
          <w:rFonts w:ascii="仿宋_GB2312" w:hAnsi="仿宋_GB2312" w:cs="仿宋_GB2312" w:eastAsia="仿宋_GB2312"/>
        </w:rPr>
        <w:t>详见附件：其他承诺.docx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详见附件：中创区A5-01地块新建小学项目（暂定名）及中创区F6-02地块新建小学项目（暂定名）供热服务合同.docx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