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9BA72">
      <w:pPr>
        <w:pageBreakBefore w:val="0"/>
        <w:widowControl w:val="0"/>
        <w:kinsoku/>
        <w:wordWrap/>
        <w:overflowPunct/>
        <w:topLinePunct w:val="0"/>
        <w:bidi w:val="0"/>
        <w:spacing w:line="520" w:lineRule="exact"/>
        <w:jc w:val="center"/>
        <w:textAlignment w:val="auto"/>
        <w:rPr>
          <w:rFonts w:hint="eastAsia" w:ascii="宋体" w:hAnsi="宋体" w:eastAsia="宋体" w:cs="宋体"/>
          <w:color w:val="000000" w:themeColor="text1"/>
          <w:sz w:val="28"/>
          <w:szCs w:val="28"/>
          <w:highlight w:val="none"/>
          <w14:textFill>
            <w14:solidFill>
              <w14:schemeClr w14:val="tx1"/>
            </w14:solidFill>
          </w14:textFill>
        </w:rPr>
      </w:pPr>
      <w:bookmarkStart w:id="0" w:name="_Toc30119"/>
      <w:r>
        <w:rPr>
          <w:rFonts w:hint="eastAsia" w:ascii="宋体" w:hAnsi="宋体" w:eastAsia="宋体" w:cs="宋体"/>
          <w:color w:val="000000" w:themeColor="text1"/>
          <w:sz w:val="28"/>
          <w:szCs w:val="28"/>
          <w:highlight w:val="none"/>
          <w14:textFill>
            <w14:solidFill>
              <w14:schemeClr w14:val="tx1"/>
            </w14:solidFill>
          </w14:textFill>
        </w:rPr>
        <w:t>政府采购合同条款</w:t>
      </w:r>
      <w:bookmarkEnd w:id="0"/>
    </w:p>
    <w:p w14:paraId="29DE7F5D">
      <w:pPr>
        <w:pStyle w:val="2"/>
        <w:pageBreakBefore w:val="0"/>
        <w:widowControl w:val="0"/>
        <w:kinsoku/>
        <w:wordWrap/>
        <w:overflowPunct/>
        <w:topLinePunct w:val="0"/>
        <w:bidi w:val="0"/>
        <w:spacing w:line="520" w:lineRule="exact"/>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合同示范文本</w:t>
      </w:r>
    </w:p>
    <w:p w14:paraId="5EBC64B7">
      <w:pPr>
        <w:pageBreakBefore w:val="0"/>
        <w:widowControl w:val="0"/>
        <w:kinsoku/>
        <w:wordWrap/>
        <w:overflowPunct/>
        <w:topLinePunct w:val="0"/>
        <w:bidi w:val="0"/>
        <w:adjustRightInd w:val="0"/>
        <w:snapToGrid w:val="0"/>
        <w:spacing w:line="520" w:lineRule="exact"/>
        <w:ind w:firstLine="420" w:firstLineChars="200"/>
        <w:textAlignment w:val="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Cs w:val="24"/>
          <w:highlight w:val="none"/>
          <w14:textFill>
            <w14:solidFill>
              <w14:schemeClr w14:val="tx1"/>
            </w14:solidFill>
          </w14:textFill>
        </w:rPr>
        <w:t>本格式条款供采购人和</w:t>
      </w:r>
      <w:r>
        <w:rPr>
          <w:rFonts w:hint="eastAsia" w:ascii="宋体" w:hAnsi="宋体" w:eastAsia="宋体" w:cs="宋体"/>
          <w:color w:val="000000" w:themeColor="text1"/>
          <w:szCs w:val="24"/>
          <w:highlight w:val="none"/>
          <w:lang w:val="en-US" w:eastAsia="zh-CN"/>
          <w14:textFill>
            <w14:solidFill>
              <w14:schemeClr w14:val="tx1"/>
            </w14:solidFill>
          </w14:textFill>
        </w:rPr>
        <w:t>中标</w:t>
      </w:r>
      <w:r>
        <w:rPr>
          <w:rFonts w:hint="eastAsia" w:ascii="宋体" w:hAnsi="宋体" w:eastAsia="宋体" w:cs="宋体"/>
          <w:color w:val="000000" w:themeColor="text1"/>
          <w:szCs w:val="24"/>
          <w:highlight w:val="none"/>
          <w14:textFill>
            <w14:solidFill>
              <w14:schemeClr w14:val="tx1"/>
            </w14:solidFill>
          </w14:textFill>
        </w:rPr>
        <w:t>供应商双方签订合同参考，最终以采购人实际签订的合同为准）</w:t>
      </w:r>
    </w:p>
    <w:p w14:paraId="5F5B7BEA">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合同编号：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w:t>
      </w:r>
    </w:p>
    <w:p w14:paraId="49D69706">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签订时间：</w:t>
      </w:r>
      <w:r>
        <w:rPr>
          <w:rFonts w:hint="eastAsia" w:ascii="宋体" w:hAnsi="宋体" w:eastAsia="宋体" w:cs="宋体"/>
          <w:color w:val="000000" w:themeColor="text1"/>
          <w:szCs w:val="24"/>
          <w:highlight w:val="none"/>
          <w14:textFill>
            <w14:solidFill>
              <w14:schemeClr w14:val="tx1"/>
            </w14:solidFill>
          </w14:textFill>
        </w:rPr>
        <w:t xml:space="preserve">                               </w:t>
      </w:r>
    </w:p>
    <w:p w14:paraId="6D4FE5E0">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采购人：</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u w:val="single"/>
          <w:lang w:val="zh-CN"/>
          <w14:textFill>
            <w14:solidFill>
              <w14:schemeClr w14:val="tx1"/>
            </w14:solidFill>
          </w14:textFill>
        </w:rPr>
        <w:t>（甲方）</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w:t>
      </w:r>
    </w:p>
    <w:p w14:paraId="44453370">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供应商：</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u w:val="single"/>
          <w:lang w:val="zh-CN"/>
          <w14:textFill>
            <w14:solidFill>
              <w14:schemeClr w14:val="tx1"/>
            </w14:solidFill>
          </w14:textFill>
        </w:rPr>
        <w:t>（乙方）</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w:t>
      </w:r>
    </w:p>
    <w:p w14:paraId="6AEDC9AA">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color w:val="auto"/>
          <w:sz w:val="24"/>
          <w:szCs w:val="32"/>
          <w:highlight w:val="none"/>
          <w:u w:val="single"/>
        </w:rPr>
      </w:pPr>
      <w:r>
        <w:rPr>
          <w:rFonts w:hint="eastAsia" w:ascii="宋体" w:hAnsi="宋体" w:eastAsia="宋体" w:cs="宋体"/>
          <w:color w:val="000000" w:themeColor="text1"/>
          <w:szCs w:val="24"/>
          <w:highlight w:val="none"/>
          <w:lang w:val="zh-CN"/>
          <w14:textFill>
            <w14:solidFill>
              <w14:schemeClr w14:val="tx1"/>
            </w14:solidFill>
          </w14:textFill>
        </w:rPr>
        <w:t>根据《中华人民共和国政府采购法》及实施条例、《中华人民共和国</w:t>
      </w:r>
      <w:r>
        <w:rPr>
          <w:rFonts w:hint="eastAsia" w:ascii="宋体" w:hAnsi="宋体" w:eastAsia="宋体" w:cs="宋体"/>
          <w:color w:val="000000" w:themeColor="text1"/>
          <w:szCs w:val="24"/>
          <w:highlight w:val="none"/>
          <w14:textFill>
            <w14:solidFill>
              <w14:schemeClr w14:val="tx1"/>
            </w14:solidFill>
          </w14:textFill>
        </w:rPr>
        <w:t>民法典</w:t>
      </w:r>
      <w:r>
        <w:rPr>
          <w:rFonts w:hint="eastAsia" w:ascii="宋体" w:hAnsi="宋体" w:eastAsia="宋体" w:cs="宋体"/>
          <w:color w:val="000000" w:themeColor="text1"/>
          <w:szCs w:val="24"/>
          <w:highlight w:val="none"/>
          <w:lang w:val="zh-CN"/>
          <w14:textFill>
            <w14:solidFill>
              <w14:schemeClr w14:val="tx1"/>
            </w14:solidFill>
          </w14:textFill>
        </w:rPr>
        <w:t>》和</w:t>
      </w:r>
      <w:r>
        <w:rPr>
          <w:rFonts w:hint="eastAsia" w:ascii="宋体" w:hAnsi="宋体" w:eastAsia="宋体" w:cs="宋体"/>
          <w:color w:val="000000" w:themeColor="text1"/>
          <w:szCs w:val="24"/>
          <w:highlight w:val="none"/>
          <w:u w:val="single"/>
          <w:lang w:eastAsia="zh-CN"/>
          <w14:textFill>
            <w14:solidFill>
              <w14:schemeClr w14:val="tx1"/>
            </w14:solidFill>
          </w14:textFill>
        </w:rPr>
        <w:t>（</w:t>
      </w:r>
      <w:r>
        <w:rPr>
          <w:rFonts w:hint="eastAsia" w:ascii="宋体" w:hAnsi="宋体" w:eastAsia="宋体" w:cs="宋体"/>
          <w:color w:val="000000" w:themeColor="text1"/>
          <w:szCs w:val="24"/>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Cs w:val="24"/>
          <w:highlight w:val="none"/>
          <w:u w:val="single"/>
          <w:lang w:eastAsia="zh-CN"/>
          <w14:textFill>
            <w14:solidFill>
              <w14:schemeClr w14:val="tx1"/>
            </w14:solidFill>
          </w14:textFill>
        </w:rPr>
        <w:t>）</w:t>
      </w:r>
      <w:r>
        <w:rPr>
          <w:rFonts w:hint="eastAsia" w:ascii="宋体" w:hAnsi="宋体" w:eastAsia="宋体" w:cs="宋体"/>
          <w:color w:val="000000" w:themeColor="text1"/>
          <w:szCs w:val="24"/>
          <w:highlight w:val="none"/>
          <w:u w:val="single"/>
          <w:lang w:val="zh-CN"/>
          <w14:textFill>
            <w14:solidFill>
              <w14:schemeClr w14:val="tx1"/>
            </w14:solidFill>
          </w14:textFill>
        </w:rPr>
        <w:t xml:space="preserve">（项目编号：          </w:t>
      </w:r>
      <w:r>
        <w:rPr>
          <w:rFonts w:hint="eastAsia" w:ascii="宋体" w:hAnsi="宋体" w:eastAsia="宋体" w:cs="宋体"/>
          <w:color w:val="000000" w:themeColor="text1"/>
          <w:szCs w:val="24"/>
          <w:highlight w:val="none"/>
          <w:lang w:val="zh-CN"/>
          <w14:textFill>
            <w14:solidFill>
              <w14:schemeClr w14:val="tx1"/>
            </w14:solidFill>
          </w14:textFill>
        </w:rPr>
        <w:t>）的</w:t>
      </w:r>
      <w:r>
        <w:rPr>
          <w:rFonts w:hint="eastAsia" w:ascii="宋体" w:hAnsi="宋体" w:eastAsia="宋体" w:cs="宋体"/>
          <w:color w:val="000000" w:themeColor="text1"/>
          <w:szCs w:val="24"/>
          <w:highlight w:val="none"/>
          <w:lang w:val="en-US" w:eastAsia="zh-CN"/>
          <w14:textFill>
            <w14:solidFill>
              <w14:schemeClr w14:val="tx1"/>
            </w14:solidFill>
          </w14:textFill>
        </w:rPr>
        <w:t>磋商</w:t>
      </w:r>
      <w:r>
        <w:rPr>
          <w:rFonts w:hint="eastAsia" w:ascii="宋体" w:hAnsi="宋体" w:eastAsia="宋体" w:cs="宋体"/>
          <w:color w:val="000000" w:themeColor="text1"/>
          <w:szCs w:val="24"/>
          <w:highlight w:val="none"/>
          <w:lang w:val="zh-CN"/>
          <w14:textFill>
            <w14:solidFill>
              <w14:schemeClr w14:val="tx1"/>
            </w14:solidFill>
          </w14:textFill>
        </w:rPr>
        <w:t>文件、</w:t>
      </w:r>
      <w:r>
        <w:rPr>
          <w:rFonts w:hint="eastAsia" w:ascii="宋体" w:hAnsi="宋体" w:eastAsia="宋体" w:cs="宋体"/>
          <w:color w:val="000000" w:themeColor="text1"/>
          <w:szCs w:val="24"/>
          <w:highlight w:val="none"/>
          <w:lang w:val="en-US" w:eastAsia="zh-CN"/>
          <w14:textFill>
            <w14:solidFill>
              <w14:schemeClr w14:val="tx1"/>
            </w14:solidFill>
          </w14:textFill>
        </w:rPr>
        <w:t>响应</w:t>
      </w:r>
      <w:r>
        <w:rPr>
          <w:rFonts w:hint="eastAsia" w:ascii="宋体" w:hAnsi="宋体" w:eastAsia="宋体" w:cs="宋体"/>
          <w:color w:val="000000" w:themeColor="text1"/>
          <w:szCs w:val="24"/>
          <w:highlight w:val="none"/>
          <w:lang w:val="zh-CN"/>
          <w14:textFill>
            <w14:solidFill>
              <w14:schemeClr w14:val="tx1"/>
            </w14:solidFill>
          </w14:textFill>
        </w:rPr>
        <w:t>文件等有关规定，为确保甲方采购项目的顺利实施，甲、乙双方在平等自愿原则下签订本合同，并共同遵守如下条款：</w:t>
      </w:r>
    </w:p>
    <w:p w14:paraId="5EE88384">
      <w:pPr>
        <w:pageBreakBefore w:val="0"/>
        <w:widowControl w:val="0"/>
        <w:kinsoku/>
        <w:wordWrap/>
        <w:overflowPunct/>
        <w:topLinePunct w:val="0"/>
        <w:bidi w:val="0"/>
        <w:spacing w:line="520" w:lineRule="exact"/>
        <w:textAlignment w:val="auto"/>
        <w:rPr>
          <w:rFonts w:hint="eastAsia" w:ascii="宋体" w:hAnsi="宋体" w:eastAsia="宋体" w:cs="宋体"/>
          <w:b/>
          <w:color w:val="auto"/>
          <w:sz w:val="24"/>
          <w:szCs w:val="32"/>
          <w:highlight w:val="none"/>
        </w:rPr>
      </w:pPr>
      <w:r>
        <w:rPr>
          <w:rFonts w:hint="eastAsia" w:ascii="宋体" w:hAnsi="宋体" w:eastAsia="宋体" w:cs="宋体"/>
          <w:b/>
          <w:color w:val="auto"/>
          <w:sz w:val="24"/>
          <w:szCs w:val="32"/>
          <w:highlight w:val="none"/>
        </w:rPr>
        <w:t>一、项目概况</w:t>
      </w:r>
    </w:p>
    <w:p w14:paraId="01B2459B">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1</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项目名称：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lang w:eastAsia="zh-CN"/>
        </w:rPr>
        <w:t>。</w:t>
      </w:r>
    </w:p>
    <w:p w14:paraId="05D35AEB">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32"/>
          <w:highlight w:val="none"/>
          <w:u w:val="single"/>
          <w:lang w:eastAsia="zh-CN"/>
        </w:rPr>
      </w:pPr>
      <w:r>
        <w:rPr>
          <w:rFonts w:hint="eastAsia" w:ascii="宋体" w:hAnsi="宋体" w:eastAsia="宋体" w:cs="宋体"/>
          <w:color w:val="auto"/>
          <w:sz w:val="24"/>
          <w:szCs w:val="32"/>
          <w:highlight w:val="none"/>
        </w:rPr>
        <w:t>2</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项目地点：</w:t>
      </w:r>
      <w:r>
        <w:rPr>
          <w:rFonts w:hint="eastAsia" w:ascii="宋体" w:hAnsi="宋体" w:eastAsia="宋体" w:cs="宋体"/>
          <w:color w:val="auto"/>
          <w:sz w:val="24"/>
          <w:szCs w:val="32"/>
          <w:highlight w:val="none"/>
          <w:u w:val="single"/>
        </w:rPr>
        <w:t>采购人指定地点</w:t>
      </w:r>
      <w:r>
        <w:rPr>
          <w:rFonts w:hint="eastAsia" w:ascii="宋体" w:hAnsi="宋体" w:eastAsia="宋体" w:cs="宋体"/>
          <w:color w:val="auto"/>
          <w:sz w:val="24"/>
          <w:szCs w:val="32"/>
          <w:highlight w:val="none"/>
          <w:lang w:eastAsia="zh-CN"/>
        </w:rPr>
        <w:t>。</w:t>
      </w:r>
    </w:p>
    <w:p w14:paraId="1BFD4619">
      <w:pPr>
        <w:pageBreakBefore w:val="0"/>
        <w:widowControl w:val="0"/>
        <w:kinsoku/>
        <w:wordWrap/>
        <w:overflowPunct/>
        <w:topLinePunct w:val="0"/>
        <w:bidi w:val="0"/>
        <w:adjustRightInd w:val="0"/>
        <w:snapToGrid w:val="0"/>
        <w:spacing w:line="520" w:lineRule="exact"/>
        <w:ind w:firstLine="475" w:firstLineChars="198"/>
        <w:jc w:val="left"/>
        <w:textAlignment w:val="auto"/>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3</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采购清单及数量：</w:t>
      </w:r>
    </w:p>
    <w:tbl>
      <w:tblPr>
        <w:tblStyle w:val="5"/>
        <w:tblpPr w:leftFromText="180" w:rightFromText="180" w:vertAnchor="text" w:horzAnchor="margin" w:tblpY="309"/>
        <w:tblW w:w="547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 w:type="dxa"/>
          <w:bottom w:w="0" w:type="dxa"/>
          <w:right w:w="10" w:type="dxa"/>
        </w:tblCellMar>
      </w:tblPr>
      <w:tblGrid>
        <w:gridCol w:w="691"/>
        <w:gridCol w:w="1302"/>
        <w:gridCol w:w="926"/>
        <w:gridCol w:w="1831"/>
        <w:gridCol w:w="1232"/>
        <w:gridCol w:w="915"/>
        <w:gridCol w:w="1137"/>
        <w:gridCol w:w="1092"/>
      </w:tblGrid>
      <w:tr w14:paraId="6D3F72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c>
          <w:tcPr>
            <w:tcW w:w="379" w:type="pct"/>
            <w:tcBorders>
              <w:top w:val="single" w:color="auto" w:sz="12" w:space="0"/>
              <w:left w:val="single" w:color="auto" w:sz="12" w:space="0"/>
              <w:bottom w:val="single" w:color="auto" w:sz="4" w:space="0"/>
              <w:right w:val="single" w:color="auto" w:sz="4" w:space="0"/>
            </w:tcBorders>
            <w:vAlign w:val="center"/>
          </w:tcPr>
          <w:p w14:paraId="3BA0FDE6">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序号</w:t>
            </w:r>
          </w:p>
        </w:tc>
        <w:tc>
          <w:tcPr>
            <w:tcW w:w="713" w:type="pct"/>
            <w:tcBorders>
              <w:top w:val="single" w:color="auto" w:sz="12" w:space="0"/>
              <w:left w:val="single" w:color="auto" w:sz="4" w:space="0"/>
              <w:bottom w:val="single" w:color="auto" w:sz="4" w:space="0"/>
              <w:right w:val="single" w:color="auto" w:sz="4" w:space="0"/>
            </w:tcBorders>
            <w:vAlign w:val="center"/>
          </w:tcPr>
          <w:p w14:paraId="4ACB7CB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名称</w:t>
            </w:r>
          </w:p>
        </w:tc>
        <w:tc>
          <w:tcPr>
            <w:tcW w:w="507" w:type="pct"/>
            <w:tcBorders>
              <w:top w:val="single" w:color="auto" w:sz="12" w:space="0"/>
              <w:left w:val="single" w:color="auto" w:sz="4" w:space="0"/>
              <w:bottom w:val="single" w:color="auto" w:sz="4" w:space="0"/>
              <w:right w:val="single" w:color="auto" w:sz="4" w:space="0"/>
            </w:tcBorders>
            <w:vAlign w:val="center"/>
          </w:tcPr>
          <w:p w14:paraId="7553BF6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品牌</w:t>
            </w:r>
          </w:p>
        </w:tc>
        <w:tc>
          <w:tcPr>
            <w:tcW w:w="1003" w:type="pct"/>
            <w:tcBorders>
              <w:top w:val="single" w:color="auto" w:sz="12" w:space="0"/>
              <w:left w:val="single" w:color="auto" w:sz="4" w:space="0"/>
              <w:bottom w:val="single" w:color="auto" w:sz="4" w:space="0"/>
              <w:right w:val="single" w:color="auto" w:sz="4" w:space="0"/>
            </w:tcBorders>
            <w:vAlign w:val="center"/>
          </w:tcPr>
          <w:p w14:paraId="493CA60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参数/规格</w:t>
            </w:r>
          </w:p>
        </w:tc>
        <w:tc>
          <w:tcPr>
            <w:tcW w:w="675" w:type="pct"/>
            <w:tcBorders>
              <w:top w:val="single" w:color="auto" w:sz="12" w:space="0"/>
              <w:left w:val="single" w:color="auto" w:sz="4" w:space="0"/>
              <w:bottom w:val="single" w:color="auto" w:sz="4" w:space="0"/>
              <w:right w:val="single" w:color="auto" w:sz="4" w:space="0"/>
            </w:tcBorders>
            <w:vAlign w:val="center"/>
          </w:tcPr>
          <w:p w14:paraId="040F93A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制造商</w:t>
            </w:r>
          </w:p>
        </w:tc>
        <w:tc>
          <w:tcPr>
            <w:tcW w:w="501" w:type="pct"/>
            <w:tcBorders>
              <w:top w:val="single" w:color="auto" w:sz="12" w:space="0"/>
              <w:left w:val="single" w:color="auto" w:sz="4" w:space="0"/>
              <w:bottom w:val="single" w:color="auto" w:sz="4" w:space="0"/>
              <w:right w:val="single" w:color="auto" w:sz="4" w:space="0"/>
            </w:tcBorders>
            <w:vAlign w:val="center"/>
          </w:tcPr>
          <w:p w14:paraId="127E9140">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数量</w:t>
            </w:r>
          </w:p>
        </w:tc>
        <w:tc>
          <w:tcPr>
            <w:tcW w:w="623" w:type="pct"/>
            <w:tcBorders>
              <w:top w:val="single" w:color="auto" w:sz="12" w:space="0"/>
              <w:left w:val="single" w:color="auto" w:sz="4" w:space="0"/>
              <w:bottom w:val="single" w:color="auto" w:sz="4" w:space="0"/>
              <w:right w:val="single" w:color="auto" w:sz="4" w:space="0"/>
            </w:tcBorders>
            <w:vAlign w:val="center"/>
          </w:tcPr>
          <w:p w14:paraId="67D6F4A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rPr>
            </w:pPr>
            <w:r>
              <w:rPr>
                <w:rFonts w:hint="eastAsia" w:ascii="宋体" w:hAnsi="宋体" w:eastAsia="宋体" w:cs="宋体"/>
                <w:sz w:val="21"/>
                <w:szCs w:val="21"/>
                <w:highlight w:val="none"/>
                <w:lang w:val="en-US" w:eastAsia="zh-CN"/>
              </w:rPr>
              <w:t>所报</w:t>
            </w:r>
            <w:r>
              <w:rPr>
                <w:rFonts w:hint="eastAsia" w:ascii="宋体" w:hAnsi="宋体" w:eastAsia="宋体" w:cs="宋体"/>
                <w:sz w:val="21"/>
                <w:szCs w:val="21"/>
                <w:highlight w:val="none"/>
              </w:rPr>
              <w:t>单价</w:t>
            </w:r>
          </w:p>
        </w:tc>
        <w:tc>
          <w:tcPr>
            <w:tcW w:w="596" w:type="pct"/>
            <w:tcBorders>
              <w:top w:val="single" w:color="auto" w:sz="12" w:space="0"/>
              <w:left w:val="single" w:color="auto" w:sz="4" w:space="0"/>
              <w:bottom w:val="single" w:color="auto" w:sz="4" w:space="0"/>
              <w:right w:val="single" w:color="auto" w:sz="12" w:space="0"/>
            </w:tcBorders>
            <w:vAlign w:val="center"/>
          </w:tcPr>
          <w:p w14:paraId="4FD641D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rPr>
            </w:pPr>
            <w:r>
              <w:rPr>
                <w:rFonts w:hint="eastAsia" w:ascii="宋体" w:hAnsi="宋体" w:eastAsia="宋体" w:cs="宋体"/>
                <w:sz w:val="21"/>
                <w:szCs w:val="21"/>
                <w:highlight w:val="none"/>
                <w:lang w:val="en-US" w:eastAsia="zh-CN"/>
              </w:rPr>
              <w:t>合计</w:t>
            </w:r>
          </w:p>
        </w:tc>
      </w:tr>
      <w:tr w14:paraId="1D5F29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c>
          <w:tcPr>
            <w:tcW w:w="379" w:type="pct"/>
            <w:tcBorders>
              <w:top w:val="single" w:color="auto" w:sz="4" w:space="0"/>
              <w:left w:val="single" w:color="auto" w:sz="12" w:space="0"/>
              <w:bottom w:val="single" w:color="auto" w:sz="4" w:space="0"/>
              <w:right w:val="single" w:color="auto" w:sz="4" w:space="0"/>
            </w:tcBorders>
            <w:vAlign w:val="center"/>
          </w:tcPr>
          <w:p w14:paraId="2BBEEEB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p>
        </w:tc>
        <w:tc>
          <w:tcPr>
            <w:tcW w:w="713" w:type="pct"/>
            <w:tcBorders>
              <w:top w:val="single" w:color="auto" w:sz="4" w:space="0"/>
              <w:left w:val="single" w:color="auto" w:sz="4" w:space="0"/>
              <w:bottom w:val="single" w:color="auto" w:sz="4" w:space="0"/>
              <w:right w:val="single" w:color="auto" w:sz="4" w:space="0"/>
            </w:tcBorders>
            <w:vAlign w:val="center"/>
          </w:tcPr>
          <w:p w14:paraId="4701F716">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p>
        </w:tc>
        <w:tc>
          <w:tcPr>
            <w:tcW w:w="507" w:type="pct"/>
            <w:tcBorders>
              <w:top w:val="single" w:color="auto" w:sz="4" w:space="0"/>
              <w:left w:val="single" w:color="auto" w:sz="4" w:space="0"/>
              <w:bottom w:val="single" w:color="auto" w:sz="4" w:space="0"/>
              <w:right w:val="single" w:color="auto" w:sz="4" w:space="0"/>
            </w:tcBorders>
            <w:vAlign w:val="center"/>
          </w:tcPr>
          <w:p w14:paraId="58DD033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p>
        </w:tc>
        <w:tc>
          <w:tcPr>
            <w:tcW w:w="1003" w:type="pct"/>
            <w:tcBorders>
              <w:top w:val="single" w:color="auto" w:sz="4" w:space="0"/>
              <w:left w:val="single" w:color="auto" w:sz="4" w:space="0"/>
              <w:bottom w:val="single" w:color="auto" w:sz="4" w:space="0"/>
              <w:right w:val="single" w:color="auto" w:sz="4" w:space="0"/>
            </w:tcBorders>
            <w:vAlign w:val="center"/>
          </w:tcPr>
          <w:p w14:paraId="4ECECF7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p>
        </w:tc>
        <w:tc>
          <w:tcPr>
            <w:tcW w:w="675" w:type="pct"/>
            <w:tcBorders>
              <w:top w:val="single" w:color="auto" w:sz="4" w:space="0"/>
              <w:left w:val="single" w:color="auto" w:sz="4" w:space="0"/>
              <w:bottom w:val="single" w:color="auto" w:sz="4" w:space="0"/>
              <w:right w:val="single" w:color="auto" w:sz="4" w:space="0"/>
            </w:tcBorders>
            <w:vAlign w:val="center"/>
          </w:tcPr>
          <w:p w14:paraId="72B2B55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vAlign w:val="center"/>
          </w:tcPr>
          <w:p w14:paraId="7FF0917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highlight w:val="none"/>
                <w:lang w:val="en-US" w:eastAsia="zh-CN"/>
              </w:rPr>
            </w:pPr>
          </w:p>
        </w:tc>
        <w:tc>
          <w:tcPr>
            <w:tcW w:w="623" w:type="pct"/>
            <w:tcBorders>
              <w:top w:val="single" w:color="auto" w:sz="4" w:space="0"/>
              <w:left w:val="single" w:color="auto" w:sz="4" w:space="0"/>
              <w:bottom w:val="single" w:color="auto" w:sz="4" w:space="0"/>
              <w:right w:val="single" w:color="auto" w:sz="4" w:space="0"/>
            </w:tcBorders>
            <w:vAlign w:val="center"/>
          </w:tcPr>
          <w:p w14:paraId="7CEF4184">
            <w:pPr>
              <w:spacing w:line="360" w:lineRule="auto"/>
              <w:jc w:val="center"/>
              <w:rPr>
                <w:rFonts w:hint="eastAsia" w:ascii="宋体" w:hAnsi="宋体" w:eastAsia="宋体" w:cs="宋体"/>
                <w:b w:val="0"/>
                <w:bCs w:val="0"/>
                <w:color w:val="000000"/>
                <w:sz w:val="24"/>
                <w:szCs w:val="24"/>
              </w:rPr>
            </w:pPr>
          </w:p>
        </w:tc>
        <w:tc>
          <w:tcPr>
            <w:tcW w:w="596" w:type="pct"/>
            <w:tcBorders>
              <w:top w:val="single" w:color="auto" w:sz="4" w:space="0"/>
              <w:left w:val="single" w:color="auto" w:sz="4" w:space="0"/>
              <w:bottom w:val="single" w:color="auto" w:sz="4" w:space="0"/>
              <w:right w:val="single" w:color="auto" w:sz="12" w:space="0"/>
            </w:tcBorders>
            <w:vAlign w:val="center"/>
          </w:tcPr>
          <w:p w14:paraId="291C2346">
            <w:pPr>
              <w:spacing w:line="360" w:lineRule="auto"/>
              <w:jc w:val="center"/>
              <w:rPr>
                <w:rFonts w:hint="eastAsia" w:ascii="宋体" w:hAnsi="宋体" w:eastAsia="宋体" w:cs="宋体"/>
                <w:b w:val="0"/>
                <w:bCs w:val="0"/>
                <w:color w:val="000000"/>
                <w:sz w:val="24"/>
                <w:szCs w:val="24"/>
              </w:rPr>
            </w:pPr>
          </w:p>
        </w:tc>
      </w:tr>
      <w:tr w14:paraId="592692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c>
          <w:tcPr>
            <w:tcW w:w="379" w:type="pct"/>
            <w:tcBorders>
              <w:top w:val="single" w:color="auto" w:sz="4" w:space="0"/>
              <w:left w:val="single" w:color="auto" w:sz="12" w:space="0"/>
              <w:bottom w:val="single" w:color="auto" w:sz="4" w:space="0"/>
              <w:right w:val="single" w:color="auto" w:sz="4" w:space="0"/>
            </w:tcBorders>
            <w:vAlign w:val="center"/>
          </w:tcPr>
          <w:p w14:paraId="477B8644">
            <w:pPr>
              <w:spacing w:line="360" w:lineRule="auto"/>
              <w:jc w:val="center"/>
              <w:rPr>
                <w:rFonts w:hint="eastAsia" w:ascii="宋体" w:hAnsi="宋体" w:eastAsia="宋体" w:cs="宋体"/>
                <w:b w:val="0"/>
                <w:bCs w:val="0"/>
                <w:color w:val="000000"/>
                <w:sz w:val="24"/>
                <w:szCs w:val="24"/>
              </w:rPr>
            </w:pPr>
          </w:p>
        </w:tc>
        <w:tc>
          <w:tcPr>
            <w:tcW w:w="713" w:type="pct"/>
            <w:tcBorders>
              <w:top w:val="single" w:color="auto" w:sz="4" w:space="0"/>
              <w:left w:val="single" w:color="auto" w:sz="4" w:space="0"/>
              <w:bottom w:val="single" w:color="auto" w:sz="4" w:space="0"/>
              <w:right w:val="single" w:color="auto" w:sz="4" w:space="0"/>
            </w:tcBorders>
            <w:vAlign w:val="center"/>
          </w:tcPr>
          <w:p w14:paraId="2C1C3925">
            <w:pPr>
              <w:spacing w:line="360" w:lineRule="auto"/>
              <w:jc w:val="center"/>
              <w:rPr>
                <w:rFonts w:hint="eastAsia" w:ascii="宋体" w:hAnsi="宋体" w:eastAsia="宋体" w:cs="宋体"/>
                <w:b w:val="0"/>
                <w:bCs w:val="0"/>
                <w:color w:val="000000"/>
                <w:sz w:val="24"/>
                <w:szCs w:val="24"/>
              </w:rPr>
            </w:pPr>
          </w:p>
        </w:tc>
        <w:tc>
          <w:tcPr>
            <w:tcW w:w="507" w:type="pct"/>
            <w:tcBorders>
              <w:top w:val="single" w:color="auto" w:sz="4" w:space="0"/>
              <w:left w:val="single" w:color="auto" w:sz="4" w:space="0"/>
              <w:bottom w:val="single" w:color="auto" w:sz="4" w:space="0"/>
              <w:right w:val="single" w:color="auto" w:sz="4" w:space="0"/>
            </w:tcBorders>
            <w:vAlign w:val="center"/>
          </w:tcPr>
          <w:p w14:paraId="2FC7A283">
            <w:pPr>
              <w:spacing w:line="360" w:lineRule="auto"/>
              <w:jc w:val="center"/>
              <w:rPr>
                <w:rFonts w:hint="eastAsia" w:ascii="宋体" w:hAnsi="宋体" w:eastAsia="宋体" w:cs="宋体"/>
                <w:b w:val="0"/>
                <w:bCs w:val="0"/>
                <w:color w:val="000000"/>
                <w:sz w:val="24"/>
                <w:szCs w:val="24"/>
              </w:rPr>
            </w:pPr>
          </w:p>
        </w:tc>
        <w:tc>
          <w:tcPr>
            <w:tcW w:w="1003" w:type="pct"/>
            <w:tcBorders>
              <w:top w:val="single" w:color="auto" w:sz="4" w:space="0"/>
              <w:left w:val="single" w:color="auto" w:sz="4" w:space="0"/>
              <w:bottom w:val="single" w:color="auto" w:sz="4" w:space="0"/>
              <w:right w:val="single" w:color="auto" w:sz="4" w:space="0"/>
            </w:tcBorders>
            <w:vAlign w:val="center"/>
          </w:tcPr>
          <w:p w14:paraId="1C362352">
            <w:pPr>
              <w:spacing w:line="360" w:lineRule="auto"/>
              <w:jc w:val="center"/>
              <w:rPr>
                <w:rFonts w:hint="eastAsia" w:ascii="宋体" w:hAnsi="宋体" w:eastAsia="宋体" w:cs="宋体"/>
                <w:b w:val="0"/>
                <w:bCs w:val="0"/>
                <w:color w:val="000000"/>
                <w:sz w:val="24"/>
                <w:szCs w:val="24"/>
              </w:rPr>
            </w:pPr>
          </w:p>
        </w:tc>
        <w:tc>
          <w:tcPr>
            <w:tcW w:w="675" w:type="pct"/>
            <w:tcBorders>
              <w:top w:val="single" w:color="auto" w:sz="4" w:space="0"/>
              <w:left w:val="single" w:color="auto" w:sz="4" w:space="0"/>
              <w:bottom w:val="single" w:color="auto" w:sz="4" w:space="0"/>
              <w:right w:val="single" w:color="auto" w:sz="4" w:space="0"/>
            </w:tcBorders>
            <w:vAlign w:val="center"/>
          </w:tcPr>
          <w:p w14:paraId="0A0CD0F7">
            <w:pPr>
              <w:spacing w:line="360" w:lineRule="auto"/>
              <w:jc w:val="center"/>
              <w:rPr>
                <w:rFonts w:hint="eastAsia" w:ascii="宋体" w:hAnsi="宋体" w:eastAsia="宋体" w:cs="宋体"/>
                <w:b w:val="0"/>
                <w:bCs w:val="0"/>
                <w:color w:val="000000"/>
                <w:sz w:val="24"/>
                <w:szCs w:val="24"/>
              </w:rPr>
            </w:pPr>
          </w:p>
        </w:tc>
        <w:tc>
          <w:tcPr>
            <w:tcW w:w="501" w:type="pct"/>
            <w:tcBorders>
              <w:top w:val="single" w:color="auto" w:sz="4" w:space="0"/>
              <w:left w:val="single" w:color="auto" w:sz="4" w:space="0"/>
              <w:bottom w:val="single" w:color="auto" w:sz="4" w:space="0"/>
              <w:right w:val="single" w:color="auto" w:sz="4" w:space="0"/>
            </w:tcBorders>
            <w:vAlign w:val="center"/>
          </w:tcPr>
          <w:p w14:paraId="5955663C">
            <w:pPr>
              <w:spacing w:line="360" w:lineRule="auto"/>
              <w:jc w:val="center"/>
              <w:rPr>
                <w:rFonts w:hint="eastAsia" w:ascii="宋体" w:hAnsi="宋体" w:eastAsia="宋体" w:cs="宋体"/>
                <w:b w:val="0"/>
                <w:bCs w:val="0"/>
                <w:color w:val="000000"/>
                <w:sz w:val="24"/>
                <w:szCs w:val="24"/>
              </w:rPr>
            </w:pPr>
          </w:p>
        </w:tc>
        <w:tc>
          <w:tcPr>
            <w:tcW w:w="623" w:type="pct"/>
            <w:tcBorders>
              <w:top w:val="single" w:color="auto" w:sz="4" w:space="0"/>
              <w:left w:val="single" w:color="auto" w:sz="4" w:space="0"/>
              <w:bottom w:val="single" w:color="auto" w:sz="4" w:space="0"/>
              <w:right w:val="single" w:color="auto" w:sz="4" w:space="0"/>
            </w:tcBorders>
            <w:vAlign w:val="center"/>
          </w:tcPr>
          <w:p w14:paraId="6C2818CF">
            <w:pPr>
              <w:spacing w:line="360" w:lineRule="auto"/>
              <w:jc w:val="center"/>
              <w:rPr>
                <w:rFonts w:hint="eastAsia" w:ascii="宋体" w:hAnsi="宋体" w:eastAsia="宋体" w:cs="宋体"/>
                <w:b w:val="0"/>
                <w:bCs w:val="0"/>
                <w:color w:val="000000"/>
                <w:sz w:val="24"/>
                <w:szCs w:val="24"/>
              </w:rPr>
            </w:pPr>
          </w:p>
        </w:tc>
        <w:tc>
          <w:tcPr>
            <w:tcW w:w="596" w:type="pct"/>
            <w:tcBorders>
              <w:top w:val="single" w:color="auto" w:sz="4" w:space="0"/>
              <w:left w:val="single" w:color="auto" w:sz="4" w:space="0"/>
              <w:bottom w:val="single" w:color="auto" w:sz="4" w:space="0"/>
              <w:right w:val="single" w:color="auto" w:sz="12" w:space="0"/>
            </w:tcBorders>
            <w:vAlign w:val="center"/>
          </w:tcPr>
          <w:p w14:paraId="3F9856D1">
            <w:pPr>
              <w:spacing w:line="360" w:lineRule="auto"/>
              <w:jc w:val="center"/>
              <w:rPr>
                <w:rFonts w:hint="eastAsia" w:ascii="宋体" w:hAnsi="宋体" w:eastAsia="宋体" w:cs="宋体"/>
                <w:b w:val="0"/>
                <w:bCs w:val="0"/>
                <w:color w:val="000000"/>
                <w:sz w:val="24"/>
                <w:szCs w:val="24"/>
              </w:rPr>
            </w:pPr>
          </w:p>
        </w:tc>
      </w:tr>
      <w:tr w14:paraId="71F104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c>
          <w:tcPr>
            <w:tcW w:w="379" w:type="pct"/>
            <w:tcBorders>
              <w:top w:val="single" w:color="auto" w:sz="4" w:space="0"/>
              <w:left w:val="single" w:color="auto" w:sz="12" w:space="0"/>
              <w:bottom w:val="single" w:color="auto" w:sz="4" w:space="0"/>
              <w:right w:val="single" w:color="auto" w:sz="4" w:space="0"/>
            </w:tcBorders>
            <w:vAlign w:val="center"/>
          </w:tcPr>
          <w:p w14:paraId="6DA7E4F3">
            <w:pPr>
              <w:spacing w:line="360" w:lineRule="auto"/>
              <w:jc w:val="center"/>
              <w:rPr>
                <w:rFonts w:hint="eastAsia" w:ascii="宋体" w:hAnsi="宋体" w:eastAsia="宋体" w:cs="宋体"/>
                <w:color w:val="000000"/>
                <w:sz w:val="22"/>
                <w:szCs w:val="22"/>
              </w:rPr>
            </w:pPr>
          </w:p>
        </w:tc>
        <w:tc>
          <w:tcPr>
            <w:tcW w:w="713" w:type="pct"/>
            <w:tcBorders>
              <w:top w:val="single" w:color="auto" w:sz="4" w:space="0"/>
              <w:left w:val="single" w:color="auto" w:sz="4" w:space="0"/>
              <w:bottom w:val="single" w:color="auto" w:sz="4" w:space="0"/>
              <w:right w:val="single" w:color="auto" w:sz="4" w:space="0"/>
            </w:tcBorders>
            <w:vAlign w:val="center"/>
          </w:tcPr>
          <w:p w14:paraId="614B8620">
            <w:pPr>
              <w:spacing w:line="360" w:lineRule="auto"/>
              <w:jc w:val="center"/>
              <w:rPr>
                <w:rFonts w:hint="eastAsia" w:ascii="宋体" w:hAnsi="宋体" w:eastAsia="宋体" w:cs="宋体"/>
                <w:color w:val="000000"/>
                <w:sz w:val="22"/>
                <w:szCs w:val="22"/>
              </w:rPr>
            </w:pPr>
          </w:p>
        </w:tc>
        <w:tc>
          <w:tcPr>
            <w:tcW w:w="507" w:type="pct"/>
            <w:tcBorders>
              <w:top w:val="single" w:color="auto" w:sz="4" w:space="0"/>
              <w:left w:val="single" w:color="auto" w:sz="4" w:space="0"/>
              <w:bottom w:val="single" w:color="auto" w:sz="4" w:space="0"/>
              <w:right w:val="single" w:color="auto" w:sz="4" w:space="0"/>
            </w:tcBorders>
            <w:vAlign w:val="center"/>
          </w:tcPr>
          <w:p w14:paraId="5E5A8885">
            <w:pPr>
              <w:spacing w:line="360" w:lineRule="auto"/>
              <w:jc w:val="center"/>
              <w:rPr>
                <w:rFonts w:hint="eastAsia" w:ascii="宋体" w:hAnsi="宋体" w:eastAsia="宋体" w:cs="宋体"/>
                <w:color w:val="000000"/>
                <w:sz w:val="22"/>
                <w:szCs w:val="22"/>
              </w:rPr>
            </w:pPr>
          </w:p>
        </w:tc>
        <w:tc>
          <w:tcPr>
            <w:tcW w:w="1003" w:type="pct"/>
            <w:tcBorders>
              <w:top w:val="single" w:color="auto" w:sz="4" w:space="0"/>
              <w:left w:val="single" w:color="auto" w:sz="4" w:space="0"/>
              <w:bottom w:val="single" w:color="auto" w:sz="4" w:space="0"/>
              <w:right w:val="single" w:color="auto" w:sz="4" w:space="0"/>
            </w:tcBorders>
            <w:vAlign w:val="center"/>
          </w:tcPr>
          <w:p w14:paraId="1EF16CEB">
            <w:pPr>
              <w:spacing w:line="360" w:lineRule="auto"/>
              <w:jc w:val="center"/>
              <w:rPr>
                <w:rFonts w:hint="eastAsia" w:ascii="宋体" w:hAnsi="宋体" w:eastAsia="宋体" w:cs="宋体"/>
                <w:color w:val="000000"/>
                <w:sz w:val="22"/>
                <w:szCs w:val="22"/>
              </w:rPr>
            </w:pPr>
          </w:p>
        </w:tc>
        <w:tc>
          <w:tcPr>
            <w:tcW w:w="675" w:type="pct"/>
            <w:tcBorders>
              <w:top w:val="single" w:color="auto" w:sz="4" w:space="0"/>
              <w:left w:val="single" w:color="auto" w:sz="4" w:space="0"/>
              <w:bottom w:val="single" w:color="auto" w:sz="4" w:space="0"/>
              <w:right w:val="single" w:color="auto" w:sz="4" w:space="0"/>
            </w:tcBorders>
            <w:vAlign w:val="center"/>
          </w:tcPr>
          <w:p w14:paraId="67B3D239">
            <w:pPr>
              <w:spacing w:line="360" w:lineRule="auto"/>
              <w:jc w:val="center"/>
              <w:rPr>
                <w:rFonts w:hint="eastAsia" w:ascii="宋体" w:hAnsi="宋体" w:eastAsia="宋体" w:cs="宋体"/>
                <w:color w:val="000000"/>
                <w:sz w:val="22"/>
                <w:szCs w:val="22"/>
              </w:rPr>
            </w:pPr>
          </w:p>
        </w:tc>
        <w:tc>
          <w:tcPr>
            <w:tcW w:w="501" w:type="pct"/>
            <w:tcBorders>
              <w:top w:val="single" w:color="auto" w:sz="4" w:space="0"/>
              <w:left w:val="single" w:color="auto" w:sz="4" w:space="0"/>
              <w:bottom w:val="single" w:color="auto" w:sz="4" w:space="0"/>
              <w:right w:val="single" w:color="auto" w:sz="4" w:space="0"/>
            </w:tcBorders>
            <w:vAlign w:val="center"/>
          </w:tcPr>
          <w:p w14:paraId="17BA9D71">
            <w:pPr>
              <w:spacing w:line="360" w:lineRule="auto"/>
              <w:jc w:val="center"/>
              <w:rPr>
                <w:rFonts w:hint="eastAsia" w:ascii="宋体" w:hAnsi="宋体" w:eastAsia="宋体" w:cs="宋体"/>
                <w:color w:val="000000"/>
                <w:sz w:val="22"/>
                <w:szCs w:val="22"/>
              </w:rPr>
            </w:pPr>
          </w:p>
        </w:tc>
        <w:tc>
          <w:tcPr>
            <w:tcW w:w="623" w:type="pct"/>
            <w:tcBorders>
              <w:top w:val="single" w:color="auto" w:sz="4" w:space="0"/>
              <w:left w:val="single" w:color="auto" w:sz="4" w:space="0"/>
              <w:bottom w:val="single" w:color="auto" w:sz="4" w:space="0"/>
              <w:right w:val="single" w:color="auto" w:sz="4" w:space="0"/>
            </w:tcBorders>
            <w:vAlign w:val="center"/>
          </w:tcPr>
          <w:p w14:paraId="464D6BB4">
            <w:pPr>
              <w:spacing w:line="360" w:lineRule="auto"/>
              <w:jc w:val="center"/>
              <w:rPr>
                <w:rFonts w:hint="eastAsia" w:ascii="宋体" w:hAnsi="宋体" w:eastAsia="宋体" w:cs="宋体"/>
                <w:color w:val="000000"/>
                <w:sz w:val="22"/>
                <w:szCs w:val="22"/>
              </w:rPr>
            </w:pPr>
          </w:p>
        </w:tc>
        <w:tc>
          <w:tcPr>
            <w:tcW w:w="596" w:type="pct"/>
            <w:tcBorders>
              <w:top w:val="single" w:color="auto" w:sz="4" w:space="0"/>
              <w:left w:val="single" w:color="auto" w:sz="4" w:space="0"/>
              <w:bottom w:val="single" w:color="auto" w:sz="4" w:space="0"/>
              <w:right w:val="single" w:color="auto" w:sz="12" w:space="0"/>
            </w:tcBorders>
            <w:vAlign w:val="center"/>
          </w:tcPr>
          <w:p w14:paraId="0041F968">
            <w:pPr>
              <w:spacing w:line="360" w:lineRule="auto"/>
              <w:jc w:val="center"/>
              <w:rPr>
                <w:rFonts w:hint="eastAsia" w:ascii="宋体" w:hAnsi="宋体" w:eastAsia="宋体" w:cs="宋体"/>
                <w:color w:val="000000"/>
                <w:sz w:val="22"/>
                <w:szCs w:val="22"/>
              </w:rPr>
            </w:pPr>
          </w:p>
        </w:tc>
      </w:tr>
      <w:tr w14:paraId="2C36B8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c>
          <w:tcPr>
            <w:tcW w:w="379" w:type="pct"/>
            <w:tcBorders>
              <w:top w:val="single" w:color="auto" w:sz="4" w:space="0"/>
              <w:left w:val="single" w:color="auto" w:sz="12" w:space="0"/>
              <w:bottom w:val="single" w:color="auto" w:sz="4" w:space="0"/>
              <w:right w:val="single" w:color="auto" w:sz="4" w:space="0"/>
            </w:tcBorders>
            <w:vAlign w:val="center"/>
          </w:tcPr>
          <w:p w14:paraId="1361E2D1">
            <w:pPr>
              <w:spacing w:line="360" w:lineRule="auto"/>
              <w:jc w:val="center"/>
              <w:rPr>
                <w:rFonts w:hint="eastAsia" w:ascii="宋体" w:hAnsi="宋体" w:eastAsia="宋体" w:cs="宋体"/>
                <w:color w:val="000000"/>
                <w:sz w:val="22"/>
                <w:szCs w:val="22"/>
              </w:rPr>
            </w:pPr>
          </w:p>
        </w:tc>
        <w:tc>
          <w:tcPr>
            <w:tcW w:w="713" w:type="pct"/>
            <w:tcBorders>
              <w:top w:val="single" w:color="auto" w:sz="4" w:space="0"/>
              <w:left w:val="single" w:color="auto" w:sz="4" w:space="0"/>
              <w:bottom w:val="single" w:color="auto" w:sz="4" w:space="0"/>
              <w:right w:val="single" w:color="auto" w:sz="4" w:space="0"/>
            </w:tcBorders>
            <w:vAlign w:val="center"/>
          </w:tcPr>
          <w:p w14:paraId="2F31B99C">
            <w:pPr>
              <w:spacing w:line="360" w:lineRule="auto"/>
              <w:jc w:val="center"/>
              <w:rPr>
                <w:rFonts w:hint="eastAsia" w:ascii="宋体" w:hAnsi="宋体" w:eastAsia="宋体" w:cs="宋体"/>
                <w:color w:val="000000"/>
                <w:sz w:val="22"/>
                <w:szCs w:val="22"/>
              </w:rPr>
            </w:pPr>
          </w:p>
        </w:tc>
        <w:tc>
          <w:tcPr>
            <w:tcW w:w="507" w:type="pct"/>
            <w:tcBorders>
              <w:top w:val="single" w:color="auto" w:sz="4" w:space="0"/>
              <w:left w:val="single" w:color="auto" w:sz="4" w:space="0"/>
              <w:bottom w:val="single" w:color="auto" w:sz="4" w:space="0"/>
              <w:right w:val="single" w:color="auto" w:sz="4" w:space="0"/>
            </w:tcBorders>
            <w:vAlign w:val="center"/>
          </w:tcPr>
          <w:p w14:paraId="19FE77A1">
            <w:pPr>
              <w:spacing w:line="360" w:lineRule="auto"/>
              <w:jc w:val="center"/>
              <w:rPr>
                <w:rFonts w:hint="eastAsia" w:ascii="宋体" w:hAnsi="宋体" w:eastAsia="宋体" w:cs="宋体"/>
                <w:color w:val="000000"/>
                <w:sz w:val="22"/>
                <w:szCs w:val="22"/>
              </w:rPr>
            </w:pPr>
          </w:p>
        </w:tc>
        <w:tc>
          <w:tcPr>
            <w:tcW w:w="1003" w:type="pct"/>
            <w:tcBorders>
              <w:top w:val="single" w:color="auto" w:sz="4" w:space="0"/>
              <w:left w:val="single" w:color="auto" w:sz="4" w:space="0"/>
              <w:bottom w:val="single" w:color="auto" w:sz="4" w:space="0"/>
              <w:right w:val="single" w:color="auto" w:sz="4" w:space="0"/>
            </w:tcBorders>
            <w:vAlign w:val="center"/>
          </w:tcPr>
          <w:p w14:paraId="7B58D1BF">
            <w:pPr>
              <w:spacing w:line="360" w:lineRule="auto"/>
              <w:jc w:val="center"/>
              <w:rPr>
                <w:rFonts w:hint="eastAsia" w:ascii="宋体" w:hAnsi="宋体" w:eastAsia="宋体" w:cs="宋体"/>
                <w:color w:val="000000"/>
                <w:sz w:val="22"/>
                <w:szCs w:val="22"/>
              </w:rPr>
            </w:pPr>
          </w:p>
        </w:tc>
        <w:tc>
          <w:tcPr>
            <w:tcW w:w="675" w:type="pct"/>
            <w:tcBorders>
              <w:top w:val="single" w:color="auto" w:sz="4" w:space="0"/>
              <w:left w:val="single" w:color="auto" w:sz="4" w:space="0"/>
              <w:bottom w:val="single" w:color="auto" w:sz="4" w:space="0"/>
              <w:right w:val="single" w:color="auto" w:sz="4" w:space="0"/>
            </w:tcBorders>
            <w:vAlign w:val="center"/>
          </w:tcPr>
          <w:p w14:paraId="2A5B409A">
            <w:pPr>
              <w:spacing w:line="360" w:lineRule="auto"/>
              <w:jc w:val="center"/>
              <w:rPr>
                <w:rFonts w:hint="eastAsia" w:ascii="宋体" w:hAnsi="宋体" w:eastAsia="宋体" w:cs="宋体"/>
                <w:color w:val="000000"/>
                <w:sz w:val="22"/>
                <w:szCs w:val="22"/>
              </w:rPr>
            </w:pPr>
          </w:p>
        </w:tc>
        <w:tc>
          <w:tcPr>
            <w:tcW w:w="501" w:type="pct"/>
            <w:tcBorders>
              <w:top w:val="single" w:color="auto" w:sz="4" w:space="0"/>
              <w:left w:val="single" w:color="auto" w:sz="4" w:space="0"/>
              <w:bottom w:val="single" w:color="auto" w:sz="4" w:space="0"/>
              <w:right w:val="single" w:color="auto" w:sz="4" w:space="0"/>
            </w:tcBorders>
            <w:vAlign w:val="center"/>
          </w:tcPr>
          <w:p w14:paraId="615C7AE2">
            <w:pPr>
              <w:spacing w:line="360" w:lineRule="auto"/>
              <w:jc w:val="center"/>
              <w:rPr>
                <w:rFonts w:hint="eastAsia" w:ascii="宋体" w:hAnsi="宋体" w:eastAsia="宋体" w:cs="宋体"/>
                <w:color w:val="000000"/>
                <w:sz w:val="22"/>
                <w:szCs w:val="22"/>
              </w:rPr>
            </w:pPr>
          </w:p>
        </w:tc>
        <w:tc>
          <w:tcPr>
            <w:tcW w:w="623" w:type="pct"/>
            <w:tcBorders>
              <w:top w:val="single" w:color="auto" w:sz="4" w:space="0"/>
              <w:left w:val="single" w:color="auto" w:sz="4" w:space="0"/>
              <w:bottom w:val="single" w:color="auto" w:sz="4" w:space="0"/>
              <w:right w:val="single" w:color="auto" w:sz="4" w:space="0"/>
            </w:tcBorders>
            <w:vAlign w:val="center"/>
          </w:tcPr>
          <w:p w14:paraId="6B084C28">
            <w:pPr>
              <w:spacing w:line="360" w:lineRule="auto"/>
              <w:jc w:val="center"/>
              <w:rPr>
                <w:rFonts w:hint="eastAsia" w:ascii="宋体" w:hAnsi="宋体" w:eastAsia="宋体" w:cs="宋体"/>
                <w:color w:val="000000"/>
                <w:sz w:val="22"/>
                <w:szCs w:val="22"/>
              </w:rPr>
            </w:pPr>
          </w:p>
        </w:tc>
        <w:tc>
          <w:tcPr>
            <w:tcW w:w="596" w:type="pct"/>
            <w:tcBorders>
              <w:top w:val="single" w:color="auto" w:sz="4" w:space="0"/>
              <w:left w:val="single" w:color="auto" w:sz="4" w:space="0"/>
              <w:bottom w:val="single" w:color="auto" w:sz="4" w:space="0"/>
              <w:right w:val="single" w:color="auto" w:sz="12" w:space="0"/>
            </w:tcBorders>
            <w:vAlign w:val="center"/>
          </w:tcPr>
          <w:p w14:paraId="3FEF9A5B">
            <w:pPr>
              <w:spacing w:line="360" w:lineRule="auto"/>
              <w:jc w:val="center"/>
              <w:rPr>
                <w:rFonts w:hint="eastAsia" w:ascii="宋体" w:hAnsi="宋体" w:eastAsia="宋体" w:cs="宋体"/>
                <w:color w:val="000000"/>
                <w:sz w:val="22"/>
                <w:szCs w:val="22"/>
              </w:rPr>
            </w:pPr>
          </w:p>
        </w:tc>
      </w:tr>
      <w:tr w14:paraId="492D99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 w:type="dxa"/>
            <w:bottom w:w="0" w:type="dxa"/>
            <w:right w:w="10" w:type="dxa"/>
          </w:tblCellMar>
        </w:tblPrEx>
        <w:tc>
          <w:tcPr>
            <w:tcW w:w="1092" w:type="pct"/>
            <w:gridSpan w:val="2"/>
            <w:tcBorders>
              <w:top w:val="single" w:color="auto" w:sz="4" w:space="0"/>
              <w:left w:val="single" w:color="auto" w:sz="12" w:space="0"/>
              <w:bottom w:val="single" w:color="auto" w:sz="12" w:space="0"/>
              <w:right w:val="single" w:color="auto" w:sz="4" w:space="0"/>
            </w:tcBorders>
            <w:vAlign w:val="center"/>
          </w:tcPr>
          <w:p w14:paraId="62274B4E">
            <w:pPr>
              <w:jc w:val="center"/>
              <w:rPr>
                <w:rFonts w:hint="eastAsia" w:ascii="宋体" w:hAnsi="宋体" w:eastAsia="宋体" w:cs="宋体"/>
                <w:sz w:val="22"/>
                <w:szCs w:val="21"/>
              </w:rPr>
            </w:pPr>
            <w:r>
              <w:rPr>
                <w:rFonts w:hint="eastAsia" w:ascii="宋体" w:hAnsi="宋体" w:eastAsia="宋体" w:cs="宋体"/>
                <w:sz w:val="22"/>
                <w:szCs w:val="21"/>
              </w:rPr>
              <w:t>总价</w:t>
            </w:r>
          </w:p>
        </w:tc>
        <w:tc>
          <w:tcPr>
            <w:tcW w:w="3907" w:type="pct"/>
            <w:gridSpan w:val="6"/>
            <w:tcBorders>
              <w:top w:val="single" w:color="auto" w:sz="4" w:space="0"/>
              <w:left w:val="single" w:color="auto" w:sz="4" w:space="0"/>
              <w:bottom w:val="single" w:color="auto" w:sz="12" w:space="0"/>
              <w:right w:val="single" w:color="auto" w:sz="12" w:space="0"/>
            </w:tcBorders>
            <w:vAlign w:val="center"/>
          </w:tcPr>
          <w:p w14:paraId="44419D1E">
            <w:pPr>
              <w:jc w:val="both"/>
              <w:rPr>
                <w:rFonts w:hint="eastAsia" w:ascii="宋体" w:hAnsi="宋体" w:eastAsia="宋体" w:cs="宋体"/>
                <w:sz w:val="22"/>
                <w:szCs w:val="21"/>
                <w:lang w:eastAsia="zh-CN"/>
              </w:rPr>
            </w:pPr>
            <w:r>
              <w:rPr>
                <w:rFonts w:hint="eastAsia" w:ascii="宋体" w:hAnsi="宋体" w:eastAsia="宋体" w:cs="宋体"/>
                <w:sz w:val="22"/>
                <w:szCs w:val="21"/>
              </w:rPr>
              <w:t>大写</w:t>
            </w:r>
            <w:r>
              <w:rPr>
                <w:rFonts w:hint="eastAsia" w:ascii="宋体" w:hAnsi="宋体" w:eastAsia="宋体" w:cs="宋体"/>
                <w:sz w:val="22"/>
                <w:szCs w:val="21"/>
                <w:lang w:eastAsia="zh-CN"/>
              </w:rPr>
              <w:t>：</w:t>
            </w:r>
          </w:p>
          <w:p w14:paraId="4C357DBF">
            <w:pPr>
              <w:jc w:val="both"/>
              <w:rPr>
                <w:rFonts w:hint="eastAsia" w:ascii="宋体" w:hAnsi="宋体" w:eastAsia="宋体" w:cs="宋体"/>
                <w:sz w:val="22"/>
                <w:szCs w:val="21"/>
                <w:lang w:val="en-US" w:eastAsia="zh-CN"/>
              </w:rPr>
            </w:pPr>
            <w:r>
              <w:rPr>
                <w:rFonts w:hint="eastAsia" w:ascii="宋体" w:hAnsi="宋体" w:eastAsia="宋体" w:cs="宋体"/>
                <w:sz w:val="22"/>
                <w:szCs w:val="21"/>
                <w:lang w:val="en-US" w:eastAsia="zh-CN"/>
              </w:rPr>
              <w:t>小写：</w:t>
            </w:r>
          </w:p>
        </w:tc>
      </w:tr>
    </w:tbl>
    <w:p w14:paraId="5F8553F7">
      <w:pPr>
        <w:pageBreakBefore w:val="0"/>
        <w:widowControl w:val="0"/>
        <w:kinsoku/>
        <w:wordWrap/>
        <w:overflowPunct/>
        <w:topLinePunct w:val="0"/>
        <w:bidi w:val="0"/>
        <w:spacing w:line="520" w:lineRule="exact"/>
        <w:textAlignment w:val="auto"/>
        <w:rPr>
          <w:rFonts w:hint="eastAsia" w:ascii="宋体" w:hAnsi="宋体" w:eastAsia="宋体" w:cs="宋体"/>
          <w:b/>
          <w:color w:val="auto"/>
          <w:sz w:val="24"/>
          <w:szCs w:val="32"/>
          <w:highlight w:val="none"/>
          <w:lang w:val="en-US" w:eastAsia="zh-CN"/>
        </w:rPr>
      </w:pPr>
      <w:r>
        <w:rPr>
          <w:rFonts w:hint="eastAsia" w:ascii="宋体" w:hAnsi="宋体" w:eastAsia="宋体" w:cs="宋体"/>
          <w:b/>
          <w:color w:val="auto"/>
          <w:sz w:val="24"/>
          <w:szCs w:val="32"/>
          <w:highlight w:val="none"/>
        </w:rPr>
        <w:t>二、</w:t>
      </w:r>
      <w:r>
        <w:rPr>
          <w:rFonts w:hint="eastAsia" w:ascii="宋体" w:hAnsi="宋体" w:eastAsia="宋体" w:cs="宋体"/>
          <w:b/>
          <w:bCs/>
          <w:color w:val="000000" w:themeColor="text1"/>
          <w:szCs w:val="24"/>
          <w:highlight w:val="none"/>
          <w:lang w:val="en-US" w:eastAsia="zh-CN"/>
          <w14:textFill>
            <w14:solidFill>
              <w14:schemeClr w14:val="tx1"/>
            </w14:solidFill>
          </w14:textFill>
        </w:rPr>
        <w:t>交货（包含安装调试）</w:t>
      </w:r>
      <w:r>
        <w:rPr>
          <w:rFonts w:hint="eastAsia" w:ascii="宋体" w:hAnsi="宋体" w:eastAsia="宋体" w:cs="宋体"/>
          <w:b/>
          <w:color w:val="auto"/>
          <w:sz w:val="24"/>
          <w:szCs w:val="32"/>
          <w:highlight w:val="none"/>
        </w:rPr>
        <w:t>、</w:t>
      </w:r>
      <w:r>
        <w:rPr>
          <w:rFonts w:hint="eastAsia" w:ascii="宋体" w:hAnsi="宋体" w:eastAsia="宋体" w:cs="宋体"/>
          <w:b/>
          <w:color w:val="auto"/>
          <w:sz w:val="24"/>
          <w:szCs w:val="32"/>
          <w:highlight w:val="none"/>
          <w:lang w:val="en-US" w:eastAsia="zh-CN"/>
        </w:rPr>
        <w:t>供货</w:t>
      </w:r>
      <w:r>
        <w:rPr>
          <w:rFonts w:hint="eastAsia" w:ascii="宋体" w:hAnsi="宋体" w:eastAsia="宋体" w:cs="宋体"/>
          <w:b/>
          <w:color w:val="auto"/>
          <w:sz w:val="24"/>
          <w:szCs w:val="32"/>
          <w:highlight w:val="none"/>
        </w:rPr>
        <w:t>期</w:t>
      </w:r>
      <w:r>
        <w:rPr>
          <w:rFonts w:hint="eastAsia" w:ascii="宋体" w:hAnsi="宋体" w:eastAsia="宋体" w:cs="宋体"/>
          <w:b/>
          <w:color w:val="auto"/>
          <w:sz w:val="24"/>
          <w:szCs w:val="32"/>
          <w:highlight w:val="none"/>
          <w:lang w:eastAsia="zh-CN"/>
        </w:rPr>
        <w:t>、</w:t>
      </w:r>
      <w:r>
        <w:rPr>
          <w:rFonts w:hint="eastAsia" w:ascii="宋体" w:hAnsi="宋体" w:eastAsia="宋体" w:cs="宋体"/>
          <w:b/>
          <w:color w:val="auto"/>
          <w:sz w:val="24"/>
          <w:szCs w:val="32"/>
          <w:highlight w:val="none"/>
          <w:lang w:val="en-US" w:eastAsia="zh-CN"/>
        </w:rPr>
        <w:t>质保期</w:t>
      </w:r>
    </w:p>
    <w:p w14:paraId="32BB9BE5">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交货地点：</w:t>
      </w:r>
      <w:r>
        <w:rPr>
          <w:rFonts w:hint="eastAsia" w:ascii="宋体" w:hAnsi="宋体" w:eastAsia="宋体" w:cs="宋体"/>
          <w:color w:val="auto"/>
          <w:sz w:val="24"/>
          <w:szCs w:val="24"/>
          <w:highlight w:val="none"/>
          <w:u w:val="single"/>
          <w:lang w:val="en-US" w:eastAsia="zh-CN"/>
        </w:rPr>
        <w:t xml:space="preserve"> 采购人指定地点 </w:t>
      </w:r>
      <w:r>
        <w:rPr>
          <w:rFonts w:hint="eastAsia" w:ascii="宋体" w:hAnsi="宋体" w:eastAsia="宋体" w:cs="宋体"/>
          <w:color w:val="auto"/>
          <w:sz w:val="24"/>
          <w:szCs w:val="24"/>
          <w:highlight w:val="none"/>
        </w:rPr>
        <w:t>。</w:t>
      </w:r>
    </w:p>
    <w:p w14:paraId="4DFFE9A7">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本合同</w:t>
      </w:r>
      <w:r>
        <w:rPr>
          <w:rFonts w:hint="eastAsia" w:ascii="宋体" w:hAnsi="宋体" w:eastAsia="宋体" w:cs="宋体"/>
          <w:color w:val="auto"/>
          <w:sz w:val="24"/>
          <w:szCs w:val="24"/>
          <w:highlight w:val="none"/>
          <w:lang w:val="en-US" w:eastAsia="zh-CN"/>
        </w:rPr>
        <w:t>供货</w:t>
      </w:r>
      <w:r>
        <w:rPr>
          <w:rFonts w:hint="eastAsia" w:ascii="宋体" w:hAnsi="宋体" w:eastAsia="宋体" w:cs="宋体"/>
          <w:color w:val="auto"/>
          <w:sz w:val="24"/>
          <w:szCs w:val="24"/>
          <w:highlight w:val="none"/>
        </w:rPr>
        <w:t>期限为</w:t>
      </w:r>
      <w:r>
        <w:rPr>
          <w:rFonts w:hint="eastAsia" w:ascii="宋体" w:hAnsi="宋体" w:eastAsia="宋体" w:cs="宋体"/>
          <w:color w:val="auto"/>
          <w:sz w:val="24"/>
          <w:szCs w:val="24"/>
          <w:highlight w:val="none"/>
          <w:lang w:val="en-US" w:eastAsia="zh-CN"/>
        </w:rPr>
        <w:t>：合同签订即日起20个日历日内。</w:t>
      </w:r>
    </w:p>
    <w:p w14:paraId="355ACEE7">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4"/>
          <w:szCs w:val="24"/>
          <w:highlight w:val="none"/>
          <w:lang w:val="en-US" w:eastAsia="zh-CN"/>
        </w:rPr>
        <w:t>3、质保期：3年，时间从最终验收合格之日起计算。</w:t>
      </w:r>
    </w:p>
    <w:p w14:paraId="32E9FF61">
      <w:pPr>
        <w:pageBreakBefore w:val="0"/>
        <w:widowControl w:val="0"/>
        <w:kinsoku/>
        <w:wordWrap/>
        <w:overflowPunct/>
        <w:topLinePunct w:val="0"/>
        <w:autoSpaceDE w:val="0"/>
        <w:autoSpaceDN w:val="0"/>
        <w:bidi w:val="0"/>
        <w:adjustRightInd w:val="0"/>
        <w:spacing w:line="520" w:lineRule="exact"/>
        <w:ind w:firstLine="482" w:firstLineChars="200"/>
        <w:jc w:val="left"/>
        <w:textAlignment w:val="auto"/>
        <w:rPr>
          <w:rFonts w:hint="eastAsia" w:ascii="宋体" w:hAnsi="宋体" w:eastAsia="宋体" w:cs="宋体"/>
          <w:b/>
          <w:bCs/>
          <w:color w:val="000000" w:themeColor="text1"/>
          <w:szCs w:val="24"/>
          <w:highlight w:val="none"/>
          <w:lang w:val="zh-CN"/>
          <w14:textFill>
            <w14:solidFill>
              <w14:schemeClr w14:val="tx1"/>
            </w14:solidFill>
          </w14:textFill>
        </w:rPr>
      </w:pPr>
      <w:r>
        <w:rPr>
          <w:rFonts w:hint="eastAsia" w:ascii="宋体" w:hAnsi="宋体" w:eastAsia="宋体" w:cs="宋体"/>
          <w:b/>
          <w:color w:val="auto"/>
          <w:sz w:val="24"/>
          <w:szCs w:val="32"/>
          <w:highlight w:val="none"/>
        </w:rPr>
        <w:t>三、</w:t>
      </w:r>
      <w:r>
        <w:rPr>
          <w:rFonts w:hint="eastAsia" w:ascii="宋体" w:hAnsi="宋体" w:eastAsia="宋体" w:cs="宋体"/>
          <w:b/>
          <w:bCs/>
          <w:color w:val="000000" w:themeColor="text1"/>
          <w:szCs w:val="24"/>
          <w:highlight w:val="none"/>
          <w:lang w:val="zh-CN"/>
          <w14:textFill>
            <w14:solidFill>
              <w14:schemeClr w14:val="tx1"/>
            </w14:solidFill>
          </w14:textFill>
        </w:rPr>
        <w:t>合同总价款</w:t>
      </w:r>
    </w:p>
    <w:p w14:paraId="3A233056">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000000" w:themeColor="text1"/>
          <w:szCs w:val="24"/>
          <w:highlight w:val="none"/>
          <w:lang w:val="zh-CN"/>
          <w14:textFill>
            <w14:solidFill>
              <w14:schemeClr w14:val="tx1"/>
            </w14:solidFill>
          </w14:textFill>
        </w:rPr>
        <w:t>1、本合同总价为人民币大写：</w:t>
      </w:r>
      <w:r>
        <w:rPr>
          <w:rFonts w:hint="eastAsia" w:ascii="宋体" w:hAnsi="宋体" w:eastAsia="宋体" w:cs="宋体"/>
          <w:color w:val="000000" w:themeColor="text1"/>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w:t>
      </w:r>
      <w:r>
        <w:rPr>
          <w:rFonts w:hint="eastAsia" w:ascii="宋体" w:hAnsi="宋体" w:eastAsia="宋体" w:cs="宋体"/>
          <w:color w:val="000000" w:themeColor="text1"/>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元）。</w:t>
      </w:r>
    </w:p>
    <w:p w14:paraId="67345C34">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2、</w:t>
      </w:r>
      <w:r>
        <w:rPr>
          <w:rFonts w:hint="eastAsia" w:ascii="宋体" w:hAnsi="宋体" w:eastAsia="宋体" w:cs="宋体"/>
          <w:color w:val="000000" w:themeColor="text1"/>
          <w:szCs w:val="24"/>
          <w:highlight w:val="none"/>
          <w:lang w:val="zh-CN"/>
          <w14:textFill>
            <w14:solidFill>
              <w14:schemeClr w14:val="tx1"/>
            </w14:solidFill>
          </w14:textFill>
        </w:rPr>
        <w:t>合同总价即成交价，为一次性报价，不受市场价变化或实际工作量变化的影响。合同</w:t>
      </w:r>
      <w:r>
        <w:rPr>
          <w:rFonts w:hint="eastAsia" w:ascii="宋体" w:hAnsi="宋体" w:eastAsia="宋体" w:cs="宋体"/>
          <w:color w:val="000000" w:themeColor="text1"/>
          <w:szCs w:val="24"/>
          <w:highlight w:val="none"/>
          <w:lang w:val="zh-CN" w:eastAsia="zh-CN"/>
          <w14:textFill>
            <w14:solidFill>
              <w14:schemeClr w14:val="tx1"/>
            </w14:solidFill>
          </w14:textFill>
        </w:rPr>
        <w:t>总价</w:t>
      </w:r>
      <w:r>
        <w:rPr>
          <w:rFonts w:hint="eastAsia" w:ascii="宋体" w:hAnsi="宋体" w:eastAsia="宋体" w:cs="宋体"/>
          <w:color w:val="000000" w:themeColor="text1"/>
          <w:szCs w:val="24"/>
          <w:highlight w:val="none"/>
          <w:lang w:val="zh-CN"/>
          <w14:textFill>
            <w14:solidFill>
              <w14:schemeClr w14:val="tx1"/>
            </w14:solidFill>
          </w14:textFill>
        </w:rPr>
        <w:t>须是完成招标项目范围等全部工作内容的价格体现，包括本项目涉及的设计、设备价格、税金、运杂费（含仓储费、</w:t>
      </w:r>
      <w:r>
        <w:rPr>
          <w:rFonts w:hint="eastAsia" w:ascii="宋体" w:hAnsi="宋体" w:eastAsia="宋体" w:cs="宋体"/>
          <w:color w:val="000000" w:themeColor="text1"/>
          <w:szCs w:val="24"/>
          <w:highlight w:val="none"/>
          <w:lang w:val="zh-CN" w:eastAsia="zh-CN"/>
          <w14:textFill>
            <w14:solidFill>
              <w14:schemeClr w14:val="tx1"/>
            </w14:solidFill>
          </w14:textFill>
        </w:rPr>
        <w:t>运输费、</w:t>
      </w:r>
      <w:r>
        <w:rPr>
          <w:rFonts w:hint="eastAsia" w:ascii="宋体" w:hAnsi="宋体" w:eastAsia="宋体" w:cs="宋体"/>
          <w:color w:val="000000" w:themeColor="text1"/>
          <w:szCs w:val="24"/>
          <w:highlight w:val="none"/>
          <w:lang w:val="zh-CN"/>
          <w14:textFill>
            <w14:solidFill>
              <w14:schemeClr w14:val="tx1"/>
            </w14:solidFill>
          </w14:textFill>
        </w:rPr>
        <w:t>装卸费）、保险费、出厂装箱清单所列易损件、备品备件、与项目相关配套辅助材料及专用工具，安装、调试、技术服务费（含培训、指导）和售后服务等涉及的所有费用以及乙方应交纳的各种政策文件规定的所有费用和所需承担的一切风险的费用。</w:t>
      </w:r>
    </w:p>
    <w:p w14:paraId="625716E6">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rPr>
      </w:pPr>
      <w:r>
        <w:rPr>
          <w:rFonts w:hint="eastAsia" w:ascii="宋体" w:hAnsi="宋体" w:eastAsia="宋体" w:cs="宋体"/>
          <w:color w:val="000000" w:themeColor="text1"/>
          <w:szCs w:val="24"/>
          <w:highlight w:val="none"/>
          <w:lang w:val="zh-CN"/>
          <w14:textFill>
            <w14:solidFill>
              <w14:schemeClr w14:val="tx1"/>
            </w14:solidFill>
          </w14:textFill>
        </w:rPr>
        <w:t>3、本合同执行期间合同总价不变，甲方无须另向乙方支付本合同规定之外的其他任何费用。</w:t>
      </w:r>
    </w:p>
    <w:p w14:paraId="34A85E47">
      <w:pPr>
        <w:pageBreakBefore w:val="0"/>
        <w:widowControl w:val="0"/>
        <w:numPr>
          <w:ilvl w:val="0"/>
          <w:numId w:val="0"/>
        </w:numPr>
        <w:kinsoku/>
        <w:wordWrap/>
        <w:overflowPunct/>
        <w:topLinePunct w:val="0"/>
        <w:bidi w:val="0"/>
        <w:adjustRightInd w:val="0"/>
        <w:snapToGrid w:val="0"/>
        <w:spacing w:line="520" w:lineRule="exact"/>
        <w:textAlignment w:val="auto"/>
        <w:rPr>
          <w:rFonts w:hint="eastAsia" w:ascii="宋体" w:hAnsi="宋体" w:eastAsia="宋体" w:cs="宋体"/>
          <w:b/>
          <w:color w:val="auto"/>
          <w:sz w:val="24"/>
          <w:szCs w:val="32"/>
          <w:highlight w:val="none"/>
        </w:rPr>
      </w:pPr>
      <w:r>
        <w:rPr>
          <w:rFonts w:hint="eastAsia" w:ascii="宋体" w:hAnsi="宋体" w:eastAsia="宋体" w:cs="宋体"/>
          <w:b/>
          <w:color w:val="auto"/>
          <w:sz w:val="24"/>
          <w:szCs w:val="32"/>
          <w:highlight w:val="none"/>
          <w:lang w:val="en-US" w:eastAsia="zh-CN"/>
        </w:rPr>
        <w:t>四、</w:t>
      </w:r>
      <w:r>
        <w:rPr>
          <w:rFonts w:hint="eastAsia" w:ascii="宋体" w:hAnsi="宋体" w:eastAsia="宋体" w:cs="宋体"/>
          <w:b/>
          <w:color w:val="auto"/>
          <w:sz w:val="24"/>
          <w:szCs w:val="32"/>
          <w:highlight w:val="none"/>
        </w:rPr>
        <w:t>付款方式</w:t>
      </w:r>
    </w:p>
    <w:p w14:paraId="4ADEC078">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1、支付时间：合同签订后，自本项目验收合格后，供应商开具合同总价数的全额发票交至采购人，采购人在30个工作日内向供应商支付合同总价数的全部款项。</w:t>
      </w:r>
    </w:p>
    <w:p w14:paraId="04702E42">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支付方式：银行转账</w:t>
      </w:r>
      <w:r>
        <w:rPr>
          <w:rFonts w:hint="eastAsia" w:ascii="宋体" w:hAnsi="宋体" w:eastAsia="宋体" w:cs="宋体"/>
          <w:color w:val="auto"/>
          <w:sz w:val="24"/>
          <w:szCs w:val="24"/>
          <w:highlight w:val="none"/>
          <w:lang w:eastAsia="zh-CN"/>
        </w:rPr>
        <w:t>。</w:t>
      </w:r>
    </w:p>
    <w:p w14:paraId="4E059FF5">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结算方式：结算审计是项目结算的必要条件，实际结算金额应以结算审计的审定金额为准。</w:t>
      </w:r>
      <w:r>
        <w:rPr>
          <w:rFonts w:hint="eastAsia" w:ascii="宋体" w:hAnsi="宋体" w:eastAsia="宋体" w:cs="宋体"/>
          <w:color w:val="auto"/>
          <w:sz w:val="24"/>
          <w:szCs w:val="24"/>
          <w:highlight w:val="none"/>
          <w:lang w:val="en-US" w:eastAsia="zh-CN"/>
        </w:rPr>
        <w:t>甲方负责向乙方支付合同款，乙方向甲方出具等额增值税普通发票。</w:t>
      </w:r>
    </w:p>
    <w:p w14:paraId="20F10F78">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4"/>
          <w:szCs w:val="24"/>
          <w:highlight w:val="none"/>
          <w:lang w:val="en-US" w:eastAsia="zh-CN"/>
        </w:rPr>
        <w:t>4、最终结算价不能超过中标金额。</w:t>
      </w:r>
    </w:p>
    <w:p w14:paraId="763F761F">
      <w:pPr>
        <w:pageBreakBefore w:val="0"/>
        <w:widowControl w:val="0"/>
        <w:kinsoku/>
        <w:wordWrap/>
        <w:overflowPunct/>
        <w:topLinePunct w:val="0"/>
        <w:bidi w:val="0"/>
        <w:adjustRightInd w:val="0"/>
        <w:snapToGrid w:val="0"/>
        <w:spacing w:line="520" w:lineRule="exact"/>
        <w:textAlignment w:val="auto"/>
        <w:rPr>
          <w:rFonts w:hint="eastAsia" w:ascii="宋体" w:hAnsi="宋体" w:eastAsia="宋体" w:cs="宋体"/>
          <w:b/>
          <w:color w:val="auto"/>
          <w:sz w:val="24"/>
          <w:szCs w:val="32"/>
          <w:highlight w:val="none"/>
        </w:rPr>
      </w:pPr>
      <w:r>
        <w:rPr>
          <w:rFonts w:hint="eastAsia" w:ascii="宋体" w:hAnsi="宋体" w:eastAsia="宋体" w:cs="宋体"/>
          <w:b/>
          <w:color w:val="auto"/>
          <w:sz w:val="24"/>
          <w:szCs w:val="32"/>
          <w:highlight w:val="none"/>
          <w:lang w:val="en-US" w:eastAsia="zh-CN"/>
        </w:rPr>
        <w:t>五</w:t>
      </w:r>
      <w:r>
        <w:rPr>
          <w:rFonts w:hint="eastAsia" w:ascii="宋体" w:hAnsi="宋体" w:eastAsia="宋体" w:cs="宋体"/>
          <w:b/>
          <w:color w:val="auto"/>
          <w:sz w:val="24"/>
          <w:szCs w:val="32"/>
          <w:highlight w:val="none"/>
        </w:rPr>
        <w:t>、质量标准</w:t>
      </w:r>
    </w:p>
    <w:p w14:paraId="70EEEF81">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保证所供产品的设计、功能、质量、性能及产品测试等，均应按国家通行的现行标准和相应的技术规范执行，这些标准和技术规范应为合同签订日为止最新公布发行的标准和技术规范，无国家标准的应符合行业标准或企业标准，并满足甲方要求。</w:t>
      </w:r>
    </w:p>
    <w:p w14:paraId="28E9D71A">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2、保证所供硬件进货渠道正规，无假货、水货或翻新货，并能按期交付。</w:t>
      </w:r>
    </w:p>
    <w:p w14:paraId="207AED28">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3、保证所供产品在装卸、运输和仓储过程中有足够的包装保护，防止产品受潮、锈蚀、遭受冲撞及其他不可预见的损坏。</w:t>
      </w:r>
    </w:p>
    <w:p w14:paraId="28A75BFC">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4、所供产品因侵权而产生的一切后果由乙方负责，甲方保留索赔权力。</w:t>
      </w:r>
    </w:p>
    <w:p w14:paraId="6D48B0E0">
      <w:pPr>
        <w:pageBreakBefore w:val="0"/>
        <w:widowControl w:val="0"/>
        <w:kinsoku/>
        <w:wordWrap/>
        <w:overflowPunct/>
        <w:topLinePunct w:val="0"/>
        <w:bidi w:val="0"/>
        <w:spacing w:line="520" w:lineRule="exact"/>
        <w:textAlignment w:val="auto"/>
        <w:rPr>
          <w:rFonts w:hint="eastAsia" w:ascii="宋体" w:hAnsi="宋体" w:eastAsia="宋体" w:cs="宋体"/>
          <w:b/>
          <w:color w:val="auto"/>
          <w:sz w:val="24"/>
          <w:szCs w:val="32"/>
          <w:highlight w:val="none"/>
          <w:lang w:val="en-US" w:eastAsia="zh-CN"/>
        </w:rPr>
      </w:pPr>
      <w:r>
        <w:rPr>
          <w:rFonts w:hint="eastAsia" w:ascii="宋体" w:hAnsi="宋体" w:eastAsia="宋体" w:cs="宋体"/>
          <w:b/>
          <w:color w:val="auto"/>
          <w:sz w:val="24"/>
          <w:szCs w:val="32"/>
          <w:highlight w:val="none"/>
          <w:lang w:val="en-US" w:eastAsia="zh-CN"/>
        </w:rPr>
        <w:t>六</w:t>
      </w:r>
      <w:r>
        <w:rPr>
          <w:rFonts w:hint="eastAsia" w:ascii="宋体" w:hAnsi="宋体" w:eastAsia="宋体" w:cs="宋体"/>
          <w:b/>
          <w:color w:val="auto"/>
          <w:sz w:val="24"/>
          <w:szCs w:val="32"/>
          <w:highlight w:val="none"/>
        </w:rPr>
        <w:t>、验收</w:t>
      </w:r>
      <w:r>
        <w:rPr>
          <w:rFonts w:hint="eastAsia" w:ascii="宋体" w:hAnsi="宋体" w:eastAsia="宋体" w:cs="宋体"/>
          <w:b/>
          <w:color w:val="auto"/>
          <w:sz w:val="24"/>
          <w:szCs w:val="32"/>
          <w:highlight w:val="none"/>
          <w:lang w:val="en-US" w:eastAsia="zh-CN"/>
        </w:rPr>
        <w:t>要求</w:t>
      </w:r>
    </w:p>
    <w:p w14:paraId="4F4D7526">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1、户外音响采购项目由采购人和成交供应商共同对项目进行整体验收：采购方在货物到达现场后，对产品的规格、数量等进行检验;若发现产品不合格，供应商需无条件更换，并承担由此造成的一切损失。</w:t>
      </w:r>
    </w:p>
    <w:p w14:paraId="711F4EA6">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2、书包柜采购项目验收由第三方专业检测鉴定机构出具空气质量检测报告，符合《室内空气质量标准》（GB/T 18883-2022）国家标准。</w:t>
      </w:r>
    </w:p>
    <w:p w14:paraId="6B29BEE1">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3、其他内容包括：</w:t>
      </w:r>
    </w:p>
    <w:p w14:paraId="174353E0">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【1】符合国家、行业及采购人标准；</w:t>
      </w:r>
    </w:p>
    <w:p w14:paraId="4807593B">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【2】验收依据：</w:t>
      </w:r>
    </w:p>
    <w:p w14:paraId="1C0E6918">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（1）磋商文件、响应文件、澄清答疑资料（如有）；</w:t>
      </w:r>
    </w:p>
    <w:p w14:paraId="450070EF">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（2）本合同及附件文本；</w:t>
      </w:r>
    </w:p>
    <w:p w14:paraId="7C430E30">
      <w:pPr>
        <w:pageBreakBefore w:val="0"/>
        <w:widowControl w:val="0"/>
        <w:kinsoku/>
        <w:wordWrap/>
        <w:overflowPunct/>
        <w:topLinePunct w:val="0"/>
        <w:bidi w:val="0"/>
        <w:adjustRightInd w:val="0"/>
        <w:snapToGrid w:val="0"/>
        <w:spacing w:line="520" w:lineRule="exact"/>
        <w:ind w:firstLine="475" w:firstLineChars="198"/>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（3）国家相应的标准、规范。</w:t>
      </w:r>
    </w:p>
    <w:p w14:paraId="66A50537">
      <w:pPr>
        <w:pageBreakBefore w:val="0"/>
        <w:widowControl w:val="0"/>
        <w:kinsoku/>
        <w:wordWrap/>
        <w:overflowPunct/>
        <w:topLinePunct w:val="0"/>
        <w:bidi w:val="0"/>
        <w:adjustRightInd w:val="0"/>
        <w:snapToGrid w:val="0"/>
        <w:spacing w:line="520" w:lineRule="exact"/>
        <w:textAlignment w:val="auto"/>
        <w:rPr>
          <w:rFonts w:hint="eastAsia" w:ascii="宋体" w:hAnsi="宋体" w:eastAsia="宋体" w:cs="宋体"/>
          <w:b/>
          <w:color w:val="auto"/>
          <w:sz w:val="24"/>
          <w:szCs w:val="32"/>
          <w:highlight w:val="none"/>
          <w:lang w:val="zh-CN" w:eastAsia="zh-CN"/>
        </w:rPr>
      </w:pPr>
      <w:r>
        <w:rPr>
          <w:rFonts w:hint="eastAsia" w:ascii="宋体" w:hAnsi="宋体" w:eastAsia="宋体" w:cs="宋体"/>
          <w:b/>
          <w:color w:val="auto"/>
          <w:sz w:val="24"/>
          <w:szCs w:val="32"/>
          <w:highlight w:val="none"/>
          <w:lang w:val="en-US" w:eastAsia="zh-CN"/>
        </w:rPr>
        <w:t>七、</w:t>
      </w:r>
      <w:r>
        <w:rPr>
          <w:rFonts w:hint="eastAsia" w:ascii="宋体" w:hAnsi="宋体" w:eastAsia="宋体" w:cs="宋体"/>
          <w:b/>
          <w:color w:val="auto"/>
          <w:sz w:val="24"/>
          <w:szCs w:val="32"/>
          <w:highlight w:val="none"/>
          <w:lang w:val="zh-CN" w:eastAsia="zh-CN"/>
        </w:rPr>
        <w:t>知识产权</w:t>
      </w:r>
    </w:p>
    <w:p w14:paraId="2778F113">
      <w:pPr>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outlineLvl w:val="9"/>
        <w:rPr>
          <w:rFonts w:hint="eastAsia" w:ascii="宋体" w:hAnsi="宋体" w:cs="仿宋"/>
          <w:color w:val="000000"/>
          <w:sz w:val="21"/>
          <w:szCs w:val="21"/>
          <w:lang w:val="zh-CN"/>
        </w:rPr>
      </w:pPr>
      <w:r>
        <w:rPr>
          <w:rFonts w:hint="eastAsia" w:ascii="宋体" w:hAnsi="宋体" w:cs="仿宋"/>
          <w:color w:val="000000"/>
          <w:sz w:val="21"/>
          <w:szCs w:val="21"/>
          <w:lang w:val="zh-CN"/>
        </w:rPr>
        <w:t>供应商应保证磋商响应技术服务不会出现因第三方提出侵犯其专利权、商标权或其它知识产权而引发法律或经济纠纷，否则由供应商承担全部责任。任何被供应商用于未经授权的商业目的行为所造成的违约或侵权责任由供应商承但。</w:t>
      </w:r>
    </w:p>
    <w:p w14:paraId="3F0A1672">
      <w:pPr>
        <w:pageBreakBefore w:val="0"/>
        <w:widowControl w:val="0"/>
        <w:kinsoku/>
        <w:wordWrap/>
        <w:overflowPunct/>
        <w:topLinePunct w:val="0"/>
        <w:bidi w:val="0"/>
        <w:adjustRightInd w:val="0"/>
        <w:snapToGrid w:val="0"/>
        <w:spacing w:line="520" w:lineRule="exact"/>
        <w:textAlignment w:val="auto"/>
        <w:rPr>
          <w:rFonts w:hint="eastAsia" w:ascii="宋体" w:hAnsi="宋体" w:eastAsia="宋体" w:cs="宋体"/>
          <w:b/>
          <w:color w:val="auto"/>
          <w:sz w:val="24"/>
          <w:szCs w:val="32"/>
          <w:highlight w:val="none"/>
          <w:lang w:val="zh-CN" w:eastAsia="zh-CN"/>
        </w:rPr>
      </w:pPr>
      <w:r>
        <w:rPr>
          <w:rFonts w:hint="eastAsia" w:ascii="宋体" w:hAnsi="宋体" w:eastAsia="宋体" w:cs="宋体"/>
          <w:b/>
          <w:color w:val="auto"/>
          <w:sz w:val="24"/>
          <w:szCs w:val="32"/>
          <w:highlight w:val="none"/>
          <w:lang w:val="en-US" w:eastAsia="zh-CN"/>
        </w:rPr>
        <w:t>八、</w:t>
      </w:r>
      <w:r>
        <w:rPr>
          <w:rFonts w:hint="eastAsia" w:ascii="宋体" w:hAnsi="宋体" w:eastAsia="宋体" w:cs="宋体"/>
          <w:b/>
          <w:color w:val="auto"/>
          <w:sz w:val="24"/>
          <w:szCs w:val="32"/>
          <w:highlight w:val="none"/>
          <w:lang w:val="zh-CN" w:eastAsia="zh-CN"/>
        </w:rPr>
        <w:t>无产权瑕疵条款</w:t>
      </w:r>
    </w:p>
    <w:p w14:paraId="1B3FED5B">
      <w:pPr>
        <w:keepLines w:val="0"/>
        <w:pageBreakBefore w:val="0"/>
        <w:widowControl w:val="0"/>
        <w:kinsoku/>
        <w:wordWrap/>
        <w:overflowPunct/>
        <w:topLinePunct w:val="0"/>
        <w:bidi w:val="0"/>
        <w:spacing w:line="360" w:lineRule="auto"/>
        <w:ind w:firstLine="420" w:firstLineChars="200"/>
        <w:textAlignment w:val="auto"/>
        <w:outlineLvl w:val="9"/>
        <w:rPr>
          <w:rFonts w:hint="eastAsia" w:ascii="宋体" w:hAnsi="宋体" w:cs="仿宋"/>
          <w:color w:val="000000"/>
          <w:sz w:val="21"/>
          <w:szCs w:val="21"/>
          <w:lang w:val="zh-CN"/>
        </w:rPr>
      </w:pPr>
      <w:r>
        <w:rPr>
          <w:rFonts w:hint="eastAsia" w:ascii="宋体" w:hAnsi="宋体" w:cs="仿宋"/>
          <w:color w:val="000000"/>
          <w:sz w:val="21"/>
          <w:szCs w:val="21"/>
          <w:lang w:val="zh-CN"/>
        </w:rPr>
        <w:t>乙方保证所提供的服务的所有权完全属于乙方且无任何抵押、查封等产权瑕疵。如有产权瑕疵的，视为乙方违约。乙方应负担由此而产生的一切损失。</w:t>
      </w:r>
    </w:p>
    <w:p w14:paraId="38491A6F">
      <w:pPr>
        <w:pageBreakBefore w:val="0"/>
        <w:widowControl w:val="0"/>
        <w:kinsoku/>
        <w:wordWrap/>
        <w:overflowPunct/>
        <w:topLinePunct w:val="0"/>
        <w:bidi w:val="0"/>
        <w:adjustRightInd w:val="0"/>
        <w:snapToGrid w:val="0"/>
        <w:spacing w:line="520" w:lineRule="exact"/>
        <w:textAlignment w:val="auto"/>
        <w:rPr>
          <w:rFonts w:hint="eastAsia" w:ascii="宋体" w:hAnsi="宋体" w:eastAsia="宋体" w:cs="宋体"/>
          <w:b/>
          <w:color w:val="auto"/>
          <w:sz w:val="24"/>
          <w:szCs w:val="32"/>
          <w:highlight w:val="none"/>
          <w:lang w:val="en-US" w:eastAsia="zh-CN"/>
        </w:rPr>
      </w:pPr>
      <w:r>
        <w:rPr>
          <w:rFonts w:hint="eastAsia" w:ascii="宋体" w:hAnsi="宋体" w:eastAsia="宋体" w:cs="宋体"/>
          <w:b/>
          <w:color w:val="auto"/>
          <w:sz w:val="24"/>
          <w:szCs w:val="32"/>
          <w:highlight w:val="none"/>
          <w:lang w:val="en-US" w:eastAsia="zh-CN"/>
        </w:rPr>
        <w:t>九、售后服务及培训</w:t>
      </w:r>
    </w:p>
    <w:p w14:paraId="3E13ED7B">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1、乙方应本着认真负责态度，组织技术队伍，做好项目的整体方案并书面提出长期保修、维护、服务以及今后技术支持的措施计划和承诺。</w:t>
      </w:r>
    </w:p>
    <w:p w14:paraId="7C335C4C">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2、本项目质量保证期（简称“质保期”）为所有设备验收合格之日起不少于3年，质保期内乙方对所供设备实行包修、包换、包退、包维护保养，质保期满后可同时提供终身(有偿)维修保养服务。</w:t>
      </w:r>
    </w:p>
    <w:p w14:paraId="5FD289E3">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3、质保期内，如设备或零部件因非人为因素出现故障而造成短期停用时，则质保期和免费维修期相应顺延；如停用时间累计超过60天则质保期重新计算。</w:t>
      </w:r>
    </w:p>
    <w:p w14:paraId="640D610C">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对甲方的维修维护等服务通知，乙方在接报后1小时内响应，4小时内到达现场，8小时内处理完毕。若8小时内不能维修好的，乙方须24小时内免费提供同档次的设备予甲方临时使用，以保证厨房正常运作。若乙方不能在限期内按以上要求替代、维修问题设备，甲方有权自行修复或采购替代设备，费用由乙方支付。</w:t>
      </w:r>
    </w:p>
    <w:p w14:paraId="1CD67AFB">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5、质保期满后</w:t>
      </w:r>
    </w:p>
    <w:p w14:paraId="70B9C511">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乙方应保证以</w:t>
      </w:r>
      <w:r>
        <w:rPr>
          <w:rFonts w:hint="eastAsia" w:ascii="宋体" w:hAnsi="宋体" w:eastAsia="宋体" w:cs="宋体"/>
          <w:color w:val="auto"/>
          <w:sz w:val="24"/>
          <w:szCs w:val="24"/>
          <w:highlight w:val="none"/>
          <w:lang w:val="zh-CN"/>
        </w:rPr>
        <w:t>不高于市场最低价</w:t>
      </w:r>
      <w:r>
        <w:rPr>
          <w:rFonts w:hint="eastAsia" w:ascii="宋体" w:hAnsi="宋体" w:eastAsia="宋体" w:cs="宋体"/>
          <w:color w:val="auto"/>
          <w:sz w:val="24"/>
          <w:szCs w:val="24"/>
          <w:highlight w:val="none"/>
          <w:lang w:val="en-US" w:eastAsia="zh-CN"/>
        </w:rPr>
        <w:t>的价格提供维护和保养服务，当发生故障时，乙方应按质保期内相同的服务标准进行维护处理。</w:t>
      </w:r>
    </w:p>
    <w:p w14:paraId="24D734A5">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6、人员培训</w:t>
      </w:r>
    </w:p>
    <w:p w14:paraId="28516F56">
      <w:pPr>
        <w:keepNext w:val="0"/>
        <w:keepLines w:val="0"/>
        <w:pageBreakBefore w:val="0"/>
        <w:kinsoku/>
        <w:wordWrap/>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项目实施完毕，乙方应对甲方操作人员和管理人员进行专门培训。</w:t>
      </w:r>
    </w:p>
    <w:p w14:paraId="2D0A0566">
      <w:pPr>
        <w:pageBreakBefore w:val="0"/>
        <w:widowControl w:val="0"/>
        <w:kinsoku/>
        <w:wordWrap/>
        <w:overflowPunct/>
        <w:topLinePunct w:val="0"/>
        <w:autoSpaceDE w:val="0"/>
        <w:autoSpaceDN w:val="0"/>
        <w:bidi w:val="0"/>
        <w:adjustRightInd w:val="0"/>
        <w:spacing w:line="520" w:lineRule="exact"/>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b/>
          <w:bCs/>
          <w:color w:val="000000" w:themeColor="text1"/>
          <w:szCs w:val="24"/>
          <w:highlight w:val="none"/>
          <w:lang w:val="en-US" w:eastAsia="zh-CN"/>
          <w14:textFill>
            <w14:solidFill>
              <w14:schemeClr w14:val="tx1"/>
            </w14:solidFill>
          </w14:textFill>
        </w:rPr>
        <w:t>十、</w:t>
      </w:r>
      <w:r>
        <w:rPr>
          <w:rFonts w:hint="eastAsia" w:ascii="宋体" w:hAnsi="宋体" w:eastAsia="宋体" w:cs="宋体"/>
          <w:b/>
          <w:bCs/>
          <w:color w:val="000000" w:themeColor="text1"/>
          <w:szCs w:val="24"/>
          <w:highlight w:val="none"/>
          <w:lang w:val="zh-CN"/>
          <w14:textFill>
            <w14:solidFill>
              <w14:schemeClr w14:val="tx1"/>
            </w14:solidFill>
          </w14:textFill>
        </w:rPr>
        <w:t>不可抗力事件处理</w:t>
      </w:r>
    </w:p>
    <w:p w14:paraId="729AC593">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1、在合同有效期内，任何一方因不可抗力事件导致不能履行合同，则合同履行期可延长，其延长期与不可抗力影响期相同。</w:t>
      </w:r>
    </w:p>
    <w:p w14:paraId="377B395A">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2、不可抗力事件发生后，应立即通知对方，并寄送有关权威机构出具的证明。</w:t>
      </w:r>
    </w:p>
    <w:p w14:paraId="4ADF5860">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3、不可抗力事件延续</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天以上，双方应通过友好协商，确定是否继续履行合同。</w:t>
      </w:r>
    </w:p>
    <w:p w14:paraId="5CDB1836">
      <w:pPr>
        <w:pageBreakBefore w:val="0"/>
        <w:widowControl w:val="0"/>
        <w:kinsoku/>
        <w:wordWrap/>
        <w:overflowPunct/>
        <w:topLinePunct w:val="0"/>
        <w:bidi w:val="0"/>
        <w:spacing w:line="520" w:lineRule="exact"/>
        <w:ind w:firstLine="480"/>
        <w:jc w:val="lef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rPr>
        <w:t>双方约定不可抗力情况指：双方不可预见、不可避免、不可克服的客观情况，但不包括双方的违约或疏忽。这些事件包括但不限于：战争、严重火灾、洪水、台风、地震等。</w:t>
      </w:r>
    </w:p>
    <w:p w14:paraId="5E3E3A95">
      <w:pPr>
        <w:pageBreakBefore w:val="0"/>
        <w:widowControl w:val="0"/>
        <w:numPr>
          <w:ilvl w:val="0"/>
          <w:numId w:val="0"/>
        </w:numPr>
        <w:kinsoku/>
        <w:wordWrap/>
        <w:overflowPunct/>
        <w:topLinePunct w:val="0"/>
        <w:bidi w:val="0"/>
        <w:spacing w:line="520" w:lineRule="exact"/>
        <w:textAlignment w:val="auto"/>
        <w:rPr>
          <w:rFonts w:hint="eastAsia" w:ascii="宋体" w:hAnsi="宋体" w:eastAsia="宋体" w:cs="宋体"/>
          <w:b/>
          <w:color w:val="auto"/>
          <w:sz w:val="24"/>
          <w:szCs w:val="32"/>
          <w:highlight w:val="none"/>
        </w:rPr>
      </w:pPr>
      <w:r>
        <w:rPr>
          <w:rFonts w:hint="eastAsia" w:ascii="宋体" w:hAnsi="宋体" w:eastAsia="宋体" w:cs="宋体"/>
          <w:b/>
          <w:color w:val="auto"/>
          <w:sz w:val="24"/>
          <w:szCs w:val="32"/>
          <w:highlight w:val="none"/>
          <w:lang w:val="en-US" w:eastAsia="zh-CN"/>
        </w:rPr>
        <w:t>十一、</w:t>
      </w:r>
      <w:r>
        <w:rPr>
          <w:rFonts w:hint="eastAsia" w:ascii="宋体" w:hAnsi="宋体" w:eastAsia="宋体" w:cs="宋体"/>
          <w:b/>
          <w:color w:val="auto"/>
          <w:sz w:val="24"/>
          <w:szCs w:val="32"/>
          <w:highlight w:val="none"/>
        </w:rPr>
        <w:t>违约责任</w:t>
      </w:r>
    </w:p>
    <w:p w14:paraId="1E78C8F7">
      <w:pPr>
        <w:pageBreakBefore w:val="0"/>
        <w:widowControl w:val="0"/>
        <w:kinsoku/>
        <w:wordWrap/>
        <w:overflowPunct/>
        <w:topLinePunct w:val="0"/>
        <w:bidi w:val="0"/>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按《中华人民共和国政府采购法》及其实施条例、《中华人民共和国民法典》中的相关条款执行。</w:t>
      </w:r>
    </w:p>
    <w:p w14:paraId="2246F39E">
      <w:pPr>
        <w:pageBreakBefore w:val="0"/>
        <w:widowControl w:val="0"/>
        <w:kinsoku/>
        <w:wordWrap/>
        <w:overflowPunct/>
        <w:topLinePunct w:val="0"/>
        <w:bidi w:val="0"/>
        <w:spacing w:line="5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乙方未按合同或谈判文件要求提供服务或供应的产品质量、指标不能满足甲方技术要求，甲方有权终止合同，甚至对乙方违约行为进行追究。</w:t>
      </w:r>
    </w:p>
    <w:p w14:paraId="3071530C">
      <w:pPr>
        <w:keepLines w:val="0"/>
        <w:pageBreakBefore w:val="0"/>
        <w:widowControl w:val="0"/>
        <w:kinsoku/>
        <w:wordWrap/>
        <w:overflowPunct/>
        <w:topLinePunct w:val="0"/>
        <w:autoSpaceDE w:val="0"/>
        <w:autoSpaceDN w:val="0"/>
        <w:bidi w:val="0"/>
        <w:adjustRightInd w:val="0"/>
        <w:spacing w:line="520" w:lineRule="exact"/>
        <w:ind w:firstLine="48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乙方的响应文件为签订正式书面合同书不可分割的部分，乙方应履行相应的责任。</w:t>
      </w:r>
    </w:p>
    <w:p w14:paraId="28570D07">
      <w:pPr>
        <w:keepLines w:val="0"/>
        <w:pageBreakBefore w:val="0"/>
        <w:widowControl w:val="0"/>
        <w:kinsoku/>
        <w:wordWrap/>
        <w:overflowPunct/>
        <w:topLinePunct w:val="0"/>
        <w:autoSpaceDE w:val="0"/>
        <w:autoSpaceDN w:val="0"/>
        <w:bidi w:val="0"/>
        <w:adjustRightInd w:val="0"/>
        <w:spacing w:line="520" w:lineRule="exact"/>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十二</w:t>
      </w:r>
      <w:r>
        <w:rPr>
          <w:rFonts w:hint="eastAsia" w:ascii="宋体" w:hAnsi="宋体" w:eastAsia="宋体" w:cs="宋体"/>
          <w:b/>
          <w:bCs/>
          <w:color w:val="auto"/>
          <w:sz w:val="24"/>
          <w:highlight w:val="none"/>
        </w:rPr>
        <w:t>、保密条款</w:t>
      </w:r>
    </w:p>
    <w:p w14:paraId="2DA381BB">
      <w:pPr>
        <w:keepLines w:val="0"/>
        <w:pageBreakBefore w:val="0"/>
        <w:widowControl w:val="0"/>
        <w:kinsoku/>
        <w:wordWrap/>
        <w:overflowPunct/>
        <w:topLinePunct w:val="0"/>
        <w:autoSpaceDE w:val="0"/>
        <w:autoSpaceDN w:val="0"/>
        <w:bidi w:val="0"/>
        <w:adjustRightInd w:val="0"/>
        <w:spacing w:line="52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甲乙双方均有责任对本合同内容保守秘密，对因协议内容的公开而造成经济和名誉损失，有责任的一方应该承担法律责任。</w:t>
      </w:r>
    </w:p>
    <w:p w14:paraId="6281E912">
      <w:pPr>
        <w:pageBreakBefore w:val="0"/>
        <w:widowControl w:val="0"/>
        <w:kinsoku/>
        <w:wordWrap/>
        <w:overflowPunct/>
        <w:topLinePunct w:val="0"/>
        <w:bidi w:val="0"/>
        <w:spacing w:line="520" w:lineRule="exact"/>
        <w:ind w:firstLine="48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乙方在服务过程中必须严格遵守甲方相关规定。</w:t>
      </w:r>
    </w:p>
    <w:p w14:paraId="0D348A62">
      <w:pPr>
        <w:pageBreakBefore w:val="0"/>
        <w:widowControl w:val="0"/>
        <w:kinsoku/>
        <w:wordWrap/>
        <w:overflowPunct/>
        <w:topLinePunct w:val="0"/>
        <w:autoSpaceDE w:val="0"/>
        <w:autoSpaceDN w:val="0"/>
        <w:bidi w:val="0"/>
        <w:adjustRightInd w:val="0"/>
        <w:spacing w:line="520" w:lineRule="exact"/>
        <w:jc w:val="left"/>
        <w:textAlignment w:val="auto"/>
        <w:rPr>
          <w:rFonts w:hint="eastAsia" w:ascii="宋体" w:hAnsi="宋体" w:eastAsia="宋体" w:cs="宋体"/>
          <w:b/>
          <w:bCs/>
          <w:color w:val="000000" w:themeColor="text1"/>
          <w:szCs w:val="24"/>
          <w:highlight w:val="none"/>
          <w:lang w:val="zh-CN"/>
          <w14:textFill>
            <w14:solidFill>
              <w14:schemeClr w14:val="tx1"/>
            </w14:solidFill>
          </w14:textFill>
        </w:rPr>
      </w:pPr>
      <w:r>
        <w:rPr>
          <w:rFonts w:hint="eastAsia" w:ascii="宋体" w:hAnsi="宋体" w:eastAsia="宋体" w:cs="宋体"/>
          <w:b/>
          <w:bCs/>
          <w:color w:val="000000" w:themeColor="text1"/>
          <w:szCs w:val="24"/>
          <w:highlight w:val="none"/>
          <w:lang w:val="en-US" w:eastAsia="zh-CN"/>
          <w14:textFill>
            <w14:solidFill>
              <w14:schemeClr w14:val="tx1"/>
            </w14:solidFill>
          </w14:textFill>
        </w:rPr>
        <w:t>十三、</w:t>
      </w:r>
      <w:r>
        <w:rPr>
          <w:rFonts w:hint="eastAsia" w:ascii="宋体" w:hAnsi="宋体" w:eastAsia="宋体" w:cs="宋体"/>
          <w:b/>
          <w:bCs/>
          <w:color w:val="000000" w:themeColor="text1"/>
          <w:szCs w:val="24"/>
          <w:highlight w:val="none"/>
          <w:lang w:val="zh-CN"/>
          <w14:textFill>
            <w14:solidFill>
              <w14:schemeClr w14:val="tx1"/>
            </w14:solidFill>
          </w14:textFill>
        </w:rPr>
        <w:t>合同的变更和终止</w:t>
      </w:r>
    </w:p>
    <w:p w14:paraId="4D72FC7B">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合同一经签订，不得擅自变更、中止或者终止合同。对确需变更、调整或者中止、终止合同的，应按规定履行相应的手续。</w:t>
      </w:r>
    </w:p>
    <w:p w14:paraId="01E07CCA">
      <w:pPr>
        <w:pageBreakBefore w:val="0"/>
        <w:widowControl w:val="0"/>
        <w:kinsoku/>
        <w:wordWrap/>
        <w:overflowPunct/>
        <w:topLinePunct w:val="0"/>
        <w:autoSpaceDE w:val="0"/>
        <w:autoSpaceDN w:val="0"/>
        <w:bidi w:val="0"/>
        <w:adjustRightInd w:val="0"/>
        <w:spacing w:line="520" w:lineRule="exact"/>
        <w:jc w:val="left"/>
        <w:textAlignment w:val="auto"/>
        <w:rPr>
          <w:rFonts w:hint="eastAsia" w:ascii="宋体" w:hAnsi="宋体" w:eastAsia="宋体" w:cs="宋体"/>
          <w:b/>
          <w:bCs/>
          <w:color w:val="000000" w:themeColor="text1"/>
          <w:szCs w:val="24"/>
          <w:highlight w:val="none"/>
          <w:lang w:val="zh-CN"/>
          <w14:textFill>
            <w14:solidFill>
              <w14:schemeClr w14:val="tx1"/>
            </w14:solidFill>
          </w14:textFill>
        </w:rPr>
      </w:pPr>
      <w:r>
        <w:rPr>
          <w:rFonts w:hint="eastAsia" w:ascii="宋体" w:hAnsi="宋体" w:eastAsia="宋体" w:cs="宋体"/>
          <w:b/>
          <w:bCs/>
          <w:color w:val="000000" w:themeColor="text1"/>
          <w:szCs w:val="24"/>
          <w:highlight w:val="none"/>
          <w:lang w:val="en-US" w:eastAsia="zh-CN"/>
          <w14:textFill>
            <w14:solidFill>
              <w14:schemeClr w14:val="tx1"/>
            </w14:solidFill>
          </w14:textFill>
        </w:rPr>
        <w:t>十四、</w:t>
      </w:r>
      <w:r>
        <w:rPr>
          <w:rFonts w:hint="eastAsia" w:ascii="宋体" w:hAnsi="宋体" w:eastAsia="宋体" w:cs="宋体"/>
          <w:b/>
          <w:bCs/>
          <w:color w:val="000000" w:themeColor="text1"/>
          <w:szCs w:val="24"/>
          <w:highlight w:val="none"/>
          <w:lang w:val="zh-CN"/>
          <w14:textFill>
            <w14:solidFill>
              <w14:schemeClr w14:val="tx1"/>
            </w14:solidFill>
          </w14:textFill>
        </w:rPr>
        <w:t>解决合同纠纷的方式</w:t>
      </w:r>
    </w:p>
    <w:p w14:paraId="0C267E5F">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1、在执行本合同中发生的或与本合同有关的争端，双方应通过友好协商解决，经协商在</w:t>
      </w:r>
      <w:r>
        <w:rPr>
          <w:rFonts w:hint="eastAsia" w:ascii="宋体" w:hAnsi="宋体" w:eastAsia="宋体" w:cs="宋体"/>
          <w:color w:val="000000" w:themeColor="text1"/>
          <w:szCs w:val="24"/>
          <w:highlight w:val="none"/>
          <w:u w:val="singl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天内不能达成协议时，则采取以下第____种方式解决争议：</w:t>
      </w:r>
    </w:p>
    <w:p w14:paraId="362C1BF9">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（1）向甲方所在地有管辖权的人民法院提起诉讼；</w:t>
      </w:r>
    </w:p>
    <w:p w14:paraId="47B01685">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（2）向____________仲裁委员会按其仲裁规则申请仲裁。</w:t>
      </w:r>
    </w:p>
    <w:p w14:paraId="4665ACAE">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2、在仲裁期间，本合同应继续履行。</w:t>
      </w:r>
    </w:p>
    <w:p w14:paraId="3C8E7037">
      <w:pPr>
        <w:pageBreakBefore w:val="0"/>
        <w:widowControl w:val="0"/>
        <w:kinsoku/>
        <w:wordWrap/>
        <w:overflowPunct/>
        <w:topLinePunct w:val="0"/>
        <w:autoSpaceDE w:val="0"/>
        <w:autoSpaceDN w:val="0"/>
        <w:bidi w:val="0"/>
        <w:adjustRightInd w:val="0"/>
        <w:spacing w:line="520" w:lineRule="exact"/>
        <w:jc w:val="left"/>
        <w:textAlignment w:val="auto"/>
        <w:rPr>
          <w:rFonts w:hint="eastAsia" w:ascii="宋体" w:hAnsi="宋体" w:eastAsia="宋体" w:cs="宋体"/>
          <w:b/>
          <w:bCs/>
          <w:color w:val="000000" w:themeColor="text1"/>
          <w:szCs w:val="24"/>
          <w:highlight w:val="none"/>
          <w:lang w:val="zh-CN"/>
          <w14:textFill>
            <w14:solidFill>
              <w14:schemeClr w14:val="tx1"/>
            </w14:solidFill>
          </w14:textFill>
        </w:rPr>
      </w:pPr>
      <w:r>
        <w:rPr>
          <w:rFonts w:hint="eastAsia" w:ascii="宋体" w:hAnsi="宋体" w:eastAsia="宋体" w:cs="宋体"/>
          <w:b/>
          <w:bCs/>
          <w:color w:val="000000" w:themeColor="text1"/>
          <w:szCs w:val="24"/>
          <w:highlight w:val="none"/>
          <w:lang w:val="en-US" w:eastAsia="zh-CN"/>
          <w14:textFill>
            <w14:solidFill>
              <w14:schemeClr w14:val="tx1"/>
            </w14:solidFill>
          </w14:textFill>
        </w:rPr>
        <w:t>十五、</w:t>
      </w:r>
      <w:r>
        <w:rPr>
          <w:rFonts w:hint="eastAsia" w:ascii="宋体" w:hAnsi="宋体" w:eastAsia="宋体" w:cs="宋体"/>
          <w:b/>
          <w:bCs/>
          <w:color w:val="000000" w:themeColor="text1"/>
          <w:szCs w:val="24"/>
          <w:highlight w:val="none"/>
          <w:lang w:val="zh-CN"/>
          <w14:textFill>
            <w14:solidFill>
              <w14:schemeClr w14:val="tx1"/>
            </w14:solidFill>
          </w14:textFill>
        </w:rPr>
        <w:t>合同的转让</w:t>
      </w:r>
    </w:p>
    <w:p w14:paraId="20C701AB">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乙方不得擅自部分或全部转让其应履行的合同义务。</w:t>
      </w:r>
    </w:p>
    <w:p w14:paraId="2A533E71">
      <w:pPr>
        <w:pageBreakBefore w:val="0"/>
        <w:widowControl w:val="0"/>
        <w:kinsoku/>
        <w:wordWrap/>
        <w:overflowPunct/>
        <w:topLinePunct w:val="0"/>
        <w:autoSpaceDE w:val="0"/>
        <w:autoSpaceDN w:val="0"/>
        <w:bidi w:val="0"/>
        <w:adjustRightInd w:val="0"/>
        <w:spacing w:line="520" w:lineRule="exact"/>
        <w:jc w:val="left"/>
        <w:textAlignment w:val="auto"/>
        <w:rPr>
          <w:rFonts w:hint="eastAsia" w:ascii="宋体" w:hAnsi="宋体" w:eastAsia="宋体" w:cs="宋体"/>
          <w:b/>
          <w:bCs/>
          <w:color w:val="000000" w:themeColor="text1"/>
          <w:szCs w:val="24"/>
          <w:highlight w:val="none"/>
          <w:lang w:val="zh-CN"/>
          <w14:textFill>
            <w14:solidFill>
              <w14:schemeClr w14:val="tx1"/>
            </w14:solidFill>
          </w14:textFill>
        </w:rPr>
      </w:pPr>
      <w:r>
        <w:rPr>
          <w:rFonts w:hint="eastAsia" w:ascii="宋体" w:hAnsi="宋体" w:eastAsia="宋体" w:cs="宋体"/>
          <w:b/>
          <w:bCs/>
          <w:color w:val="000000" w:themeColor="text1"/>
          <w:szCs w:val="24"/>
          <w:highlight w:val="none"/>
          <w:lang w:val="en-US" w:eastAsia="zh-CN"/>
          <w14:textFill>
            <w14:solidFill>
              <w14:schemeClr w14:val="tx1"/>
            </w14:solidFill>
          </w14:textFill>
        </w:rPr>
        <w:t>十六、</w:t>
      </w:r>
      <w:r>
        <w:rPr>
          <w:rFonts w:hint="eastAsia" w:ascii="宋体" w:hAnsi="宋体" w:eastAsia="宋体" w:cs="宋体"/>
          <w:b/>
          <w:bCs/>
          <w:color w:val="000000" w:themeColor="text1"/>
          <w:szCs w:val="24"/>
          <w:highlight w:val="none"/>
          <w:lang w:val="zh-CN"/>
          <w14:textFill>
            <w14:solidFill>
              <w14:schemeClr w14:val="tx1"/>
            </w14:solidFill>
          </w14:textFill>
        </w:rPr>
        <w:t>合同生效及其他</w:t>
      </w:r>
    </w:p>
    <w:p w14:paraId="6CB429E3">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1、本合同自签订之日起生效。</w:t>
      </w:r>
    </w:p>
    <w:p w14:paraId="3733B0AA">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2、本合同一式</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份，甲乙双方各执</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份</w:t>
      </w:r>
      <w:r>
        <w:rPr>
          <w:rFonts w:hint="eastAsia" w:ascii="宋体" w:hAnsi="宋体" w:eastAsia="宋体" w:cs="宋体"/>
          <w:color w:val="000000" w:themeColor="text1"/>
          <w:szCs w:val="24"/>
          <w:highlight w:val="none"/>
          <w14:textFill>
            <w14:solidFill>
              <w14:schemeClr w14:val="tx1"/>
            </w14:solidFill>
          </w14:textFill>
        </w:rPr>
        <w:t>。</w:t>
      </w:r>
    </w:p>
    <w:p w14:paraId="6A7564A0">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3、本合同应按照中华人民共和国的现行法律进行解释。</w:t>
      </w:r>
    </w:p>
    <w:p w14:paraId="43DF5E82">
      <w:pPr>
        <w:pageBreakBefore w:val="0"/>
        <w:widowControl w:val="0"/>
        <w:kinsoku/>
        <w:wordWrap/>
        <w:overflowPunct/>
        <w:topLinePunct w:val="0"/>
        <w:autoSpaceDE w:val="0"/>
        <w:autoSpaceDN w:val="0"/>
        <w:bidi w:val="0"/>
        <w:adjustRightInd w:val="0"/>
        <w:spacing w:line="520" w:lineRule="exact"/>
        <w:jc w:val="left"/>
        <w:textAlignment w:val="auto"/>
        <w:rPr>
          <w:rFonts w:hint="eastAsia" w:ascii="宋体" w:hAnsi="宋体" w:eastAsia="宋体" w:cs="宋体"/>
          <w:b/>
          <w:bCs/>
          <w:color w:val="000000" w:themeColor="text1"/>
          <w:szCs w:val="24"/>
          <w:highlight w:val="none"/>
          <w:lang w:val="zh-CN"/>
          <w14:textFill>
            <w14:solidFill>
              <w14:schemeClr w14:val="tx1"/>
            </w14:solidFill>
          </w14:textFill>
        </w:rPr>
      </w:pPr>
      <w:r>
        <w:rPr>
          <w:rFonts w:hint="eastAsia" w:ascii="宋体" w:hAnsi="宋体" w:eastAsia="宋体" w:cs="宋体"/>
          <w:b/>
          <w:bCs/>
          <w:color w:val="000000" w:themeColor="text1"/>
          <w:szCs w:val="24"/>
          <w:highlight w:val="none"/>
          <w:lang w:val="en-US" w:eastAsia="zh-CN"/>
          <w14:textFill>
            <w14:solidFill>
              <w14:schemeClr w14:val="tx1"/>
            </w14:solidFill>
          </w14:textFill>
        </w:rPr>
        <w:t>十七、</w:t>
      </w:r>
      <w:r>
        <w:rPr>
          <w:rFonts w:hint="eastAsia" w:ascii="宋体" w:hAnsi="宋体" w:eastAsia="宋体" w:cs="宋体"/>
          <w:b/>
          <w:bCs/>
          <w:color w:val="000000" w:themeColor="text1"/>
          <w:szCs w:val="24"/>
          <w:highlight w:val="none"/>
          <w:lang w:val="zh-CN"/>
          <w14:textFill>
            <w14:solidFill>
              <w14:schemeClr w14:val="tx1"/>
            </w14:solidFill>
          </w14:textFill>
        </w:rPr>
        <w:t>组成本合同的文件</w:t>
      </w:r>
    </w:p>
    <w:p w14:paraId="5F2E4DF2">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1、</w:t>
      </w:r>
      <w:r>
        <w:rPr>
          <w:rFonts w:hint="eastAsia" w:ascii="宋体" w:hAnsi="宋体" w:eastAsia="宋体" w:cs="宋体"/>
          <w:color w:val="000000" w:themeColor="text1"/>
          <w:szCs w:val="24"/>
          <w:highlight w:val="none"/>
          <w:lang w:val="en-US" w:eastAsia="zh-CN"/>
          <w14:textFill>
            <w14:solidFill>
              <w14:schemeClr w14:val="tx1"/>
            </w14:solidFill>
          </w14:textFill>
        </w:rPr>
        <w:t>成交</w:t>
      </w:r>
      <w:r>
        <w:rPr>
          <w:rFonts w:hint="eastAsia" w:ascii="宋体" w:hAnsi="宋体" w:eastAsia="宋体" w:cs="宋体"/>
          <w:color w:val="000000" w:themeColor="text1"/>
          <w:szCs w:val="24"/>
          <w:highlight w:val="none"/>
          <w:lang w:val="zh-CN"/>
          <w14:textFill>
            <w14:solidFill>
              <w14:schemeClr w14:val="tx1"/>
            </w14:solidFill>
          </w14:textFill>
        </w:rPr>
        <w:t>通知书</w:t>
      </w:r>
    </w:p>
    <w:p w14:paraId="071D3E44">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szCs w:val="24"/>
          <w:highlight w:val="none"/>
          <w:lang w:val="zh-CN"/>
        </w:rPr>
      </w:pPr>
      <w:r>
        <w:rPr>
          <w:rFonts w:hint="eastAsia" w:ascii="宋体" w:hAnsi="宋体" w:eastAsia="宋体" w:cs="宋体"/>
          <w:szCs w:val="24"/>
          <w:highlight w:val="none"/>
          <w:lang w:val="zh-CN"/>
        </w:rPr>
        <w:t>2、项目</w:t>
      </w:r>
      <w:r>
        <w:rPr>
          <w:rFonts w:hint="eastAsia" w:ascii="宋体" w:hAnsi="宋体" w:eastAsia="宋体" w:cs="宋体"/>
          <w:szCs w:val="24"/>
          <w:highlight w:val="none"/>
          <w:lang w:val="en-US" w:eastAsia="zh-CN"/>
        </w:rPr>
        <w:t>响应</w:t>
      </w:r>
      <w:r>
        <w:rPr>
          <w:rFonts w:hint="eastAsia" w:ascii="宋体" w:hAnsi="宋体" w:eastAsia="宋体" w:cs="宋体"/>
          <w:szCs w:val="24"/>
          <w:highlight w:val="none"/>
          <w:lang w:val="zh-CN"/>
        </w:rPr>
        <w:t>文件</w:t>
      </w:r>
    </w:p>
    <w:p w14:paraId="3446BD94">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szCs w:val="24"/>
          <w:highlight w:val="none"/>
          <w:lang w:val="zh-CN"/>
        </w:rPr>
      </w:pPr>
      <w:r>
        <w:rPr>
          <w:rFonts w:hint="eastAsia" w:ascii="宋体" w:hAnsi="宋体" w:eastAsia="宋体" w:cs="宋体"/>
          <w:szCs w:val="24"/>
          <w:highlight w:val="none"/>
          <w:lang w:val="zh-CN"/>
        </w:rPr>
        <w:t>3、项目修改澄清文件</w:t>
      </w:r>
    </w:p>
    <w:p w14:paraId="2657C5C9">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szCs w:val="24"/>
          <w:highlight w:val="none"/>
          <w:lang w:val="zh-CN"/>
        </w:rPr>
      </w:pPr>
      <w:r>
        <w:rPr>
          <w:rFonts w:hint="eastAsia" w:ascii="宋体" w:hAnsi="宋体" w:eastAsia="宋体" w:cs="宋体"/>
          <w:szCs w:val="24"/>
          <w:highlight w:val="none"/>
          <w:lang w:val="zh-CN"/>
        </w:rPr>
        <w:t>4、项目</w:t>
      </w:r>
      <w:r>
        <w:rPr>
          <w:rFonts w:hint="eastAsia" w:ascii="宋体" w:hAnsi="宋体" w:eastAsia="宋体" w:cs="宋体"/>
          <w:szCs w:val="24"/>
          <w:highlight w:val="none"/>
          <w:lang w:val="en-US" w:eastAsia="zh-CN"/>
        </w:rPr>
        <w:t>磋商</w:t>
      </w:r>
      <w:r>
        <w:rPr>
          <w:rFonts w:hint="eastAsia" w:ascii="宋体" w:hAnsi="宋体" w:eastAsia="宋体" w:cs="宋体"/>
          <w:szCs w:val="24"/>
          <w:highlight w:val="none"/>
          <w:lang w:val="zh-CN"/>
        </w:rPr>
        <w:t>文件</w:t>
      </w:r>
    </w:p>
    <w:p w14:paraId="3EC85E23">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5、其他</w:t>
      </w:r>
    </w:p>
    <w:p w14:paraId="36DB49E7">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p>
    <w:p w14:paraId="200FD788">
      <w:pPr>
        <w:rPr>
          <w:rFonts w:hint="eastAsia" w:ascii="宋体" w:hAnsi="宋体" w:eastAsia="宋体" w:cs="宋体"/>
          <w:lang w:val="zh-CN"/>
        </w:rPr>
      </w:pPr>
      <w:bookmarkStart w:id="1" w:name="_GoBack"/>
      <w:bookmarkEnd w:id="1"/>
      <w:r>
        <w:rPr>
          <w:rFonts w:hint="eastAsia" w:ascii="宋体" w:hAnsi="宋体" w:eastAsia="宋体" w:cs="宋体"/>
          <w:lang w:val="zh-CN"/>
        </w:rPr>
        <w:br w:type="page"/>
      </w:r>
    </w:p>
    <w:p w14:paraId="456DFF2A">
      <w:pPr>
        <w:pStyle w:val="3"/>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lang w:val="en-US" w:eastAsia="zh-CN"/>
        </w:rPr>
        <w:t>本页无正文</w:t>
      </w:r>
      <w:r>
        <w:rPr>
          <w:rFonts w:hint="eastAsia" w:ascii="宋体" w:hAnsi="宋体" w:eastAsia="宋体" w:cs="宋体"/>
          <w:lang w:val="zh-CN"/>
        </w:rPr>
        <w:t>）</w:t>
      </w:r>
    </w:p>
    <w:p w14:paraId="528937B9">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p>
    <w:p w14:paraId="0622F2F3">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采购人（甲方）：（盖章）</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供应商（乙方）：（盖章）   </w:t>
      </w:r>
    </w:p>
    <w:p w14:paraId="5DDA6D15">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地 址：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地  址：                    </w:t>
      </w:r>
    </w:p>
    <w:p w14:paraId="7EEF6FCD">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邮政编码：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邮政编码：                  </w:t>
      </w:r>
    </w:p>
    <w:p w14:paraId="6DC8BC7E">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法定代表人或其授权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法定代表人或其授权</w:t>
      </w:r>
    </w:p>
    <w:p w14:paraId="36371534">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的代理人：（签字或盖章）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的代理人：（签字或盖章）    </w:t>
      </w:r>
    </w:p>
    <w:p w14:paraId="5C5E2784">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开户银行：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开户银行：                  </w:t>
      </w:r>
    </w:p>
    <w:p w14:paraId="6855E2DF">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账号：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账号：                       </w:t>
      </w:r>
    </w:p>
    <w:p w14:paraId="47001964">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电话：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电话：                      </w:t>
      </w:r>
    </w:p>
    <w:p w14:paraId="696D0653">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传真：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传真：                      </w:t>
      </w:r>
    </w:p>
    <w:p w14:paraId="405FE8C5">
      <w:pPr>
        <w:pageBreakBefore w:val="0"/>
        <w:widowControl w:val="0"/>
        <w:kinsoku/>
        <w:wordWrap/>
        <w:overflowPunct/>
        <w:topLinePunct w:val="0"/>
        <w:autoSpaceDE w:val="0"/>
        <w:autoSpaceDN w:val="0"/>
        <w:bidi w:val="0"/>
        <w:adjustRightInd w:val="0"/>
        <w:spacing w:line="520" w:lineRule="exact"/>
        <w:ind w:firstLine="480" w:firstLineChars="200"/>
        <w:jc w:val="left"/>
        <w:textAlignment w:val="auto"/>
        <w:rPr>
          <w:rFonts w:hint="eastAsia" w:ascii="宋体" w:hAnsi="宋体" w:eastAsia="宋体" w:cs="宋体"/>
          <w:color w:val="000000" w:themeColor="text1"/>
          <w:szCs w:val="24"/>
          <w:highlight w:val="none"/>
          <w:lang w:val="zh-CN"/>
          <w14:textFill>
            <w14:solidFill>
              <w14:schemeClr w14:val="tx1"/>
            </w14:solidFill>
          </w14:textFill>
        </w:rPr>
      </w:pPr>
      <w:r>
        <w:rPr>
          <w:rFonts w:hint="eastAsia" w:ascii="宋体" w:hAnsi="宋体" w:eastAsia="宋体" w:cs="宋体"/>
          <w:color w:val="000000" w:themeColor="text1"/>
          <w:szCs w:val="24"/>
          <w:highlight w:val="none"/>
          <w:lang w:val="zh-CN"/>
          <w14:textFill>
            <w14:solidFill>
              <w14:schemeClr w14:val="tx1"/>
            </w14:solidFill>
          </w14:textFill>
        </w:rPr>
        <w:t xml:space="preserve">电子邮箱：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 </w:t>
      </w:r>
      <w:r>
        <w:rPr>
          <w:rFonts w:hint="eastAsia" w:ascii="宋体" w:hAnsi="宋体" w:eastAsia="宋体" w:cs="宋体"/>
          <w:color w:val="000000" w:themeColor="text1"/>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4"/>
          <w:highlight w:val="none"/>
          <w:lang w:val="zh-CN"/>
          <w14:textFill>
            <w14:solidFill>
              <w14:schemeClr w14:val="tx1"/>
            </w14:solidFill>
          </w14:textFill>
        </w:rPr>
        <w:t xml:space="preserve">电子邮箱：                  </w:t>
      </w:r>
    </w:p>
    <w:p w14:paraId="4C6210DB">
      <w:pPr>
        <w:pStyle w:val="7"/>
        <w:rPr>
          <w:rFonts w:hint="eastAsia" w:ascii="宋体" w:hAnsi="宋体" w:eastAsia="宋体" w:cs="宋体"/>
          <w:color w:val="000000" w:themeColor="text1"/>
          <w:szCs w:val="24"/>
          <w:highlight w:val="none"/>
          <w:lang w:val="zh-CN"/>
          <w14:textFill>
            <w14:solidFill>
              <w14:schemeClr w14:val="tx1"/>
            </w14:solidFill>
          </w14:textFill>
        </w:rPr>
      </w:pPr>
    </w:p>
    <w:p w14:paraId="335074AF">
      <w:pPr>
        <w:pStyle w:val="7"/>
        <w:rPr>
          <w:rFonts w:hint="eastAsia" w:ascii="宋体" w:hAnsi="宋体" w:eastAsia="宋体" w:cs="宋体"/>
          <w:color w:val="000000" w:themeColor="text1"/>
          <w:szCs w:val="24"/>
          <w:highlight w:val="none"/>
          <w:lang w:val="zh-CN"/>
          <w14:textFill>
            <w14:solidFill>
              <w14:schemeClr w14:val="tx1"/>
            </w14:solidFill>
          </w14:textFill>
        </w:rPr>
      </w:pPr>
    </w:p>
    <w:p w14:paraId="12E23A2A">
      <w:pPr>
        <w:pStyle w:val="7"/>
        <w:rPr>
          <w:rFonts w:hint="eastAsia" w:ascii="宋体" w:hAnsi="宋体" w:eastAsia="宋体" w:cs="宋体"/>
          <w:lang w:val="en-US" w:eastAsia="zh-Hans"/>
        </w:rPr>
      </w:pPr>
      <w:r>
        <w:rPr>
          <w:rFonts w:hint="eastAsia" w:ascii="宋体" w:hAnsi="宋体" w:eastAsia="宋体" w:cs="宋体"/>
          <w:color w:val="000000" w:themeColor="text1"/>
          <w:szCs w:val="24"/>
          <w:highlight w:val="none"/>
          <w:lang w:val="zh-CN"/>
          <w14:textFill>
            <w14:solidFill>
              <w14:schemeClr w14:val="tx1"/>
            </w14:solidFill>
          </w14:textFill>
        </w:rPr>
        <w:t>注：本合同未定事宜，双方可根据具体情况结合有关规定另行签订补充协议，补充协议与本合同具有同等法律效力。</w:t>
      </w:r>
    </w:p>
    <w:p w14:paraId="4384E5B2">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896F5F"/>
    <w:rsid w:val="116A5D99"/>
    <w:rsid w:val="28EF6C41"/>
    <w:rsid w:val="3C781A19"/>
    <w:rsid w:val="79375B3A"/>
    <w:rsid w:val="7B896F5F"/>
    <w:rsid w:val="7D037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Times New Roman" w:eastAsia="宋体" w:cs="Times New Roman"/>
      <w:kern w:val="0"/>
      <w:sz w:val="20"/>
      <w:szCs w:val="21"/>
    </w:rPr>
  </w:style>
  <w:style w:type="paragraph" w:styleId="3">
    <w:name w:val="Normal Indent"/>
    <w:basedOn w:val="1"/>
    <w:qFormat/>
    <w:uiPriority w:val="99"/>
    <w:pPr>
      <w:snapToGrid w:val="0"/>
      <w:spacing w:before="10" w:after="10" w:line="500" w:lineRule="atLeast"/>
      <w:ind w:firstLine="200" w:firstLineChars="200"/>
    </w:pPr>
    <w:rPr>
      <w:kern w:val="0"/>
      <w:sz w:val="28"/>
      <w:szCs w:val="20"/>
    </w:rPr>
  </w:style>
  <w:style w:type="paragraph" w:styleId="4">
    <w:name w:val="Body Text"/>
    <w:basedOn w:val="1"/>
    <w:next w:val="1"/>
    <w:qFormat/>
    <w:uiPriority w:val="99"/>
    <w:pPr>
      <w:widowControl/>
      <w:jc w:val="left"/>
    </w:pPr>
    <w:rPr>
      <w:rFonts w:ascii="Times New Roman" w:hAnsi="Times New Roman"/>
      <w:kern w:val="0"/>
      <w:sz w:val="20"/>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2705</Words>
  <Characters>2735</Characters>
  <Lines>0</Lines>
  <Paragraphs>0</Paragraphs>
  <TotalTime>2</TotalTime>
  <ScaleCrop>false</ScaleCrop>
  <LinksUpToDate>false</LinksUpToDate>
  <CharactersWithSpaces>3376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2025-05-19T08:31:00Z</dcterms:created>
  <dc:creator>Angle。同伴</dc:creator>
  <cp:lastModifiedBy>Angle。同伴</cp:lastModifiedBy>
  <dcterms:modified xsi:type="dcterms:W3CDTF">2025-07-24T07:08:31Z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78B8F21D80FE4A048606AE0A6C6FBCA9_11</vt:lpwstr>
  </property>
  <property fmtid="{D5CDD505-2E9C-101B-9397-08002B2CF9AE}" pid="4" name="KSOTemplateDocerSaveRecord">
    <vt:lpwstr>eyJoZGlkIjoiNjI0Y2NkZDdlMDY2Y2ViYTU2MjBhNGVhOGFmZDkyZTYiLCJ1c2VySWQiOiIzOTQ0NzkwMDAifQ==</vt:lpwstr>
  </property>
</Properties>
</file>