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版本号：ZXGJ-YLZB-2025（27）20250727001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高新区集贤园发展中心项目土地服务项目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ZXGJ-YLZB-2025（27）</w:t>
      </w:r>
      <w:r>
        <w:br/>
      </w:r>
      <w:r>
        <w:br/>
      </w:r>
      <w:r>
        <w:br/>
      </w:r>
    </w:p>
    <w:p>
      <w:pPr>
        <w:pStyle w:val="null3"/>
        <w:jc w:val="center"/>
        <w:outlineLvl w:val="2"/>
      </w:pPr>
      <w:r>
        <w:rPr>
          <w:rFonts w:ascii="仿宋_GB2312" w:hAnsi="仿宋_GB2312" w:cs="仿宋_GB2312" w:eastAsia="仿宋_GB2312"/>
          <w:sz w:val="28"/>
          <w:b/>
        </w:rPr>
        <w:t>西安高新技术产业开发区集贤园发展中心</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西安高新技术产业开发区集贤园发展中心</w:t>
      </w:r>
      <w:r>
        <w:rPr>
          <w:rFonts w:ascii="仿宋_GB2312" w:hAnsi="仿宋_GB2312" w:cs="仿宋_GB2312" w:eastAsia="仿宋_GB2312"/>
        </w:rPr>
        <w:t>委托，拟对</w:t>
      </w:r>
      <w:r>
        <w:rPr>
          <w:rFonts w:ascii="仿宋_GB2312" w:hAnsi="仿宋_GB2312" w:cs="仿宋_GB2312" w:eastAsia="仿宋_GB2312"/>
        </w:rPr>
        <w:t>高新区集贤园发展中心项目土地服务项目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ZXGJ-YLZB-2025（27）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高新区集贤园发展中心项目土地服务项目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本次招标主要工作内容包括土地报批工作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采购包1（高新区集贤园发展中心项目土地服务项目）：属于专门面向中小企业采购。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1、营业执照等：提供注册登记凭证（营业执照、其他组织经营的合法凭证、自然人的提供身份证明文件）；</w:t>
      </w:r>
    </w:p>
    <w:p>
      <w:pPr>
        <w:pStyle w:val="null3"/>
      </w:pPr>
      <w:r>
        <w:rPr>
          <w:rFonts w:ascii="仿宋_GB2312" w:hAnsi="仿宋_GB2312" w:cs="仿宋_GB2312" w:eastAsia="仿宋_GB2312"/>
        </w:rPr>
        <w:t>2、财务会计证明材料：①2023或2024年度经审计的财务报告，包括四表一注，即资产负债表、利润表、现金流量表、所有者权益变动表及其附注；如为事业法人，提供部门决算报告；②或在开标日期前六个月内其基本开户银行出具的资信证明（附《基本存款账户信息》或《银行开户许可证》复印件）；③或财政部门认可的政府采购专业担保机构出具的担保函；（以上三种形式的资料提供任何一种即可）；</w:t>
      </w:r>
    </w:p>
    <w:p>
      <w:pPr>
        <w:pStyle w:val="null3"/>
      </w:pPr>
      <w:r>
        <w:rPr>
          <w:rFonts w:ascii="仿宋_GB2312" w:hAnsi="仿宋_GB2312" w:cs="仿宋_GB2312" w:eastAsia="仿宋_GB2312"/>
        </w:rPr>
        <w:t>3、税收缴纳凭证：提供缴费所属日期为投标截止时间前12个月内任一月份（投标截止时间当月不计入）的增值税（或所得税）缴费凭据或税务机关出具的完税证明，依法免税的单位应提供相关证明材料；</w:t>
      </w:r>
    </w:p>
    <w:p>
      <w:pPr>
        <w:pStyle w:val="null3"/>
      </w:pPr>
      <w:r>
        <w:rPr>
          <w:rFonts w:ascii="仿宋_GB2312" w:hAnsi="仿宋_GB2312" w:cs="仿宋_GB2312" w:eastAsia="仿宋_GB2312"/>
        </w:rPr>
        <w:t>4、社保缴纳凭证：提供缴费所属日期为投标截止时间前12个月内任一月份（投标截止时间当月不计入）的缴费凭据或社保机关出具的缴费证明；依法不需要缴纳社会保障资金的单位应提供相关证明材料；</w:t>
      </w:r>
    </w:p>
    <w:p>
      <w:pPr>
        <w:pStyle w:val="null3"/>
      </w:pPr>
      <w:r>
        <w:rPr>
          <w:rFonts w:ascii="仿宋_GB2312" w:hAnsi="仿宋_GB2312" w:cs="仿宋_GB2312" w:eastAsia="仿宋_GB2312"/>
        </w:rPr>
        <w:t>5、声明文件：具有履行合同所必需的设备和专业技术能力声明文件；</w:t>
      </w:r>
    </w:p>
    <w:p>
      <w:pPr>
        <w:pStyle w:val="null3"/>
      </w:pPr>
      <w:r>
        <w:rPr>
          <w:rFonts w:ascii="仿宋_GB2312" w:hAnsi="仿宋_GB2312" w:cs="仿宋_GB2312" w:eastAsia="仿宋_GB2312"/>
        </w:rPr>
        <w:t>6、书面声明：参加政府采购活动前3年内在经营活动中没有重大违法记录的书面声明；</w:t>
      </w:r>
    </w:p>
    <w:p>
      <w:pPr>
        <w:pStyle w:val="null3"/>
      </w:pPr>
      <w:r>
        <w:rPr>
          <w:rFonts w:ascii="仿宋_GB2312" w:hAnsi="仿宋_GB2312" w:cs="仿宋_GB2312" w:eastAsia="仿宋_GB2312"/>
        </w:rPr>
        <w:t>7、授权合法的人员参加投标全过程：应授权合法的人员参加投标全过程，其中法定代表人直接参加投标的，须出具法人身份证，并与营业执照上信息一致。法定代表人授权代表参加投标的，须出具法定代表人授权书及被授权人投标截止时间前一个月的社会保险缴纳证明；</w:t>
      </w:r>
    </w:p>
    <w:p>
      <w:pPr>
        <w:pStyle w:val="null3"/>
      </w:pPr>
      <w:r>
        <w:rPr>
          <w:rFonts w:ascii="仿宋_GB2312" w:hAnsi="仿宋_GB2312" w:cs="仿宋_GB2312" w:eastAsia="仿宋_GB2312"/>
        </w:rPr>
        <w:t>8、信用查询：投标人不得为“信用中国”网站（www.creditchina.gov.cn）和中国政府采购网（www.ccgp.gov.cn）中被列入失信被执行人、重大税收违法失信主体、政府采购严重违法失信行为记录名单的单位；</w:t>
      </w:r>
    </w:p>
    <w:p>
      <w:pPr>
        <w:pStyle w:val="null3"/>
      </w:pPr>
      <w:r>
        <w:rPr>
          <w:rFonts w:ascii="仿宋_GB2312" w:hAnsi="仿宋_GB2312" w:cs="仿宋_GB2312" w:eastAsia="仿宋_GB2312"/>
        </w:rPr>
        <w:t>9、其他要求：单位负责人为同一人或者存在直接控股、管理关系的不同供应商，不得参加本次采购活动。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西安高新技术产业开发区集贤园发展中心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西安市周至县秦创原太周创新产业园2号楼12层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15902994267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张艳、王涛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18829517279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代理服务费收费标准：采购代理服务费的金额以中标金额为基数参照原《国家计委关于印发&lt;招标代理服务收费管理暂行办法&gt;的通知》（计价格【2002】1980号）计算标准下浮30%执行。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西安高新技术产业开发区集贤园发展中心</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西安高新技术产业开发区集贤园发展中心</w:t>
      </w:r>
      <w:r>
        <w:rPr>
          <w:rFonts w:ascii="仿宋_GB2312" w:hAnsi="仿宋_GB2312" w:cs="仿宋_GB2312" w:eastAsia="仿宋_GB2312"/>
        </w:rPr>
        <w:t>负责解释。除上述磋商文件内容，其他内容由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西安高新技术产业开发区集贤园发展中心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服务质量达到合格标准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联系人：张艳</w:t>
      </w:r>
    </w:p>
    <w:p>
      <w:pPr>
        <w:pStyle w:val="null3"/>
      </w:pPr>
      <w:r>
        <w:rPr>
          <w:rFonts w:ascii="仿宋_GB2312" w:hAnsi="仿宋_GB2312" w:cs="仿宋_GB2312" w:eastAsia="仿宋_GB2312"/>
        </w:rPr>
        <w:t>联系电话：18829517279</w:t>
      </w:r>
    </w:p>
    <w:p>
      <w:pPr>
        <w:pStyle w:val="null3"/>
      </w:pPr>
      <w:r>
        <w:rPr>
          <w:rFonts w:ascii="仿宋_GB2312" w:hAnsi="仿宋_GB2312" w:cs="仿宋_GB2312" w:eastAsia="仿宋_GB2312"/>
        </w:rPr>
        <w:t>地址：西安经济技术开发区凤城十二路首创禧悦里25幢A座16层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本次招标主要工作内容包括土地报批工作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高新区集贤园发展中心项目土地服务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标的名称：高新区集贤园发展中心项目土地服务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一、</w:t>
            </w:r>
            <w:r>
              <w:rPr>
                <w:rFonts w:ascii="仿宋_GB2312" w:hAnsi="仿宋_GB2312" w:cs="仿宋_GB2312" w:eastAsia="仿宋_GB2312"/>
                <w:sz w:val="28"/>
                <w:b/>
              </w:rPr>
              <w:t>招标范围</w:t>
            </w:r>
          </w:p>
          <w:p>
            <w:pPr>
              <w:pStyle w:val="null3"/>
              <w:ind w:firstLine="560"/>
              <w:jc w:val="both"/>
            </w:pPr>
            <w:r>
              <w:rPr>
                <w:rFonts w:ascii="仿宋_GB2312" w:hAnsi="仿宋_GB2312" w:cs="仿宋_GB2312" w:eastAsia="仿宋_GB2312"/>
                <w:sz w:val="28"/>
              </w:rPr>
              <w:t>本次招标主要工作内容包括土地报批工作</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8"/>
                <w:b/>
              </w:rPr>
              <w:t>二、</w:t>
            </w:r>
            <w:r>
              <w:rPr>
                <w:rFonts w:ascii="仿宋_GB2312" w:hAnsi="仿宋_GB2312" w:cs="仿宋_GB2312" w:eastAsia="仿宋_GB2312"/>
                <w:sz w:val="28"/>
                <w:b/>
              </w:rPr>
              <w:t>技术要求</w:t>
            </w:r>
          </w:p>
          <w:p>
            <w:pPr>
              <w:pStyle w:val="null3"/>
              <w:ind w:firstLine="560"/>
              <w:jc w:val="both"/>
            </w:pPr>
            <w:r>
              <w:rPr>
                <w:rFonts w:ascii="仿宋_GB2312" w:hAnsi="仿宋_GB2312" w:cs="仿宋_GB2312" w:eastAsia="仿宋_GB2312"/>
                <w:sz w:val="28"/>
              </w:rPr>
              <w:t>1、前期资料收集阶段、成果编制阶段、省级报批阶段等工作构成，各个阶段工作不能少</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2、委托方积极配合，同时，技术承担单位要及时向委托方汇报工作进展情况；</w:t>
            </w:r>
          </w:p>
          <w:p>
            <w:pPr>
              <w:pStyle w:val="null3"/>
              <w:ind w:firstLine="560"/>
              <w:jc w:val="both"/>
            </w:pPr>
            <w:r>
              <w:rPr>
                <w:rFonts w:ascii="仿宋_GB2312" w:hAnsi="仿宋_GB2312" w:cs="仿宋_GB2312" w:eastAsia="仿宋_GB2312"/>
                <w:sz w:val="28"/>
              </w:rPr>
              <w:t>3、组件上报工作，在政策允许的条件下，</w:t>
            </w:r>
            <w:r>
              <w:rPr>
                <w:rFonts w:ascii="仿宋_GB2312" w:hAnsi="仿宋_GB2312" w:cs="仿宋_GB2312" w:eastAsia="仿宋_GB2312"/>
                <w:sz w:val="28"/>
              </w:rPr>
              <w:t>由县资规局上报市、省资规部门逐级审批，</w:t>
            </w:r>
            <w:r>
              <w:rPr>
                <w:rFonts w:ascii="仿宋_GB2312" w:hAnsi="仿宋_GB2312" w:cs="仿宋_GB2312" w:eastAsia="仿宋_GB2312"/>
                <w:sz w:val="28"/>
              </w:rPr>
              <w:t>要能够获取省</w:t>
            </w:r>
            <w:r>
              <w:rPr>
                <w:rFonts w:ascii="仿宋_GB2312" w:hAnsi="仿宋_GB2312" w:cs="仿宋_GB2312" w:eastAsia="仿宋_GB2312"/>
                <w:sz w:val="28"/>
              </w:rPr>
              <w:t>级土地</w:t>
            </w:r>
            <w:r>
              <w:rPr>
                <w:rFonts w:ascii="仿宋_GB2312" w:hAnsi="仿宋_GB2312" w:cs="仿宋_GB2312" w:eastAsia="仿宋_GB2312"/>
                <w:sz w:val="28"/>
              </w:rPr>
              <w:t>批复，如有政策变化，要及时与委托方沟通。</w:t>
            </w:r>
          </w:p>
          <w:p>
            <w:pPr>
              <w:pStyle w:val="null3"/>
              <w:ind w:firstLine="560"/>
              <w:jc w:val="both"/>
            </w:pP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8"/>
                <w:b/>
              </w:rPr>
              <w:t>三、工作量</w:t>
            </w:r>
          </w:p>
          <w:p>
            <w:pPr>
              <w:pStyle w:val="null3"/>
              <w:ind w:firstLine="560"/>
              <w:jc w:val="both"/>
            </w:pPr>
            <w:r>
              <w:rPr>
                <w:rFonts w:ascii="仿宋_GB2312" w:hAnsi="仿宋_GB2312" w:cs="仿宋_GB2312" w:eastAsia="仿宋_GB2312"/>
                <w:sz w:val="28"/>
              </w:rPr>
              <w:t>2025年计划</w:t>
            </w:r>
            <w:r>
              <w:rPr>
                <w:rFonts w:ascii="仿宋_GB2312" w:hAnsi="仿宋_GB2312" w:cs="仿宋_GB2312" w:eastAsia="仿宋_GB2312"/>
                <w:sz w:val="28"/>
              </w:rPr>
              <w:t>上报</w:t>
            </w:r>
            <w:r>
              <w:rPr>
                <w:rFonts w:ascii="仿宋_GB2312" w:hAnsi="仿宋_GB2312" w:cs="仿宋_GB2312" w:eastAsia="仿宋_GB2312"/>
                <w:sz w:val="28"/>
              </w:rPr>
              <w:t>用地面积为</w:t>
            </w:r>
            <w:r>
              <w:rPr>
                <w:rFonts w:ascii="仿宋_GB2312" w:hAnsi="仿宋_GB2312" w:cs="仿宋_GB2312" w:eastAsia="仿宋_GB2312"/>
                <w:sz w:val="28"/>
              </w:rPr>
              <w:t>207.574</w:t>
            </w:r>
            <w:r>
              <w:rPr>
                <w:rFonts w:ascii="仿宋_GB2312" w:hAnsi="仿宋_GB2312" w:cs="仿宋_GB2312" w:eastAsia="仿宋_GB2312"/>
                <w:sz w:val="28"/>
              </w:rPr>
              <w:t>亩，</w:t>
            </w:r>
            <w:r>
              <w:rPr>
                <w:rFonts w:ascii="仿宋_GB2312" w:hAnsi="仿宋_GB2312" w:cs="仿宋_GB2312" w:eastAsia="仿宋_GB2312"/>
                <w:sz w:val="28"/>
              </w:rPr>
              <w:t>分</w:t>
            </w:r>
            <w:r>
              <w:rPr>
                <w:rFonts w:ascii="仿宋_GB2312" w:hAnsi="仿宋_GB2312" w:cs="仿宋_GB2312" w:eastAsia="仿宋_GB2312"/>
                <w:sz w:val="28"/>
              </w:rPr>
              <w:t>为</w:t>
            </w:r>
            <w:r>
              <w:rPr>
                <w:rFonts w:ascii="仿宋_GB2312" w:hAnsi="仿宋_GB2312" w:cs="仿宋_GB2312" w:eastAsia="仿宋_GB2312"/>
                <w:sz w:val="28"/>
              </w:rPr>
              <w:t>8</w:t>
            </w:r>
            <w:r>
              <w:rPr>
                <w:rFonts w:ascii="仿宋_GB2312" w:hAnsi="仿宋_GB2312" w:cs="仿宋_GB2312" w:eastAsia="仿宋_GB2312"/>
                <w:sz w:val="28"/>
              </w:rPr>
              <w:t>个批次</w:t>
            </w:r>
            <w:r>
              <w:rPr>
                <w:rFonts w:ascii="仿宋_GB2312" w:hAnsi="仿宋_GB2312" w:cs="仿宋_GB2312" w:eastAsia="仿宋_GB2312"/>
                <w:sz w:val="28"/>
              </w:rPr>
              <w:t>组件上报</w:t>
            </w:r>
            <w:r>
              <w:rPr>
                <w:rFonts w:ascii="仿宋_GB2312" w:hAnsi="仿宋_GB2312" w:cs="仿宋_GB2312" w:eastAsia="仿宋_GB2312"/>
                <w:sz w:val="28"/>
              </w:rPr>
              <w:t>。</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8"/>
                <w:b/>
              </w:rPr>
              <w:t>四、服务期限</w:t>
            </w:r>
          </w:p>
          <w:p>
            <w:pPr>
              <w:pStyle w:val="null3"/>
              <w:ind w:firstLine="560"/>
              <w:jc w:val="both"/>
            </w:pPr>
            <w:r>
              <w:rPr>
                <w:rFonts w:ascii="仿宋_GB2312" w:hAnsi="仿宋_GB2312" w:cs="仿宋_GB2312" w:eastAsia="仿宋_GB2312"/>
                <w:sz w:val="28"/>
              </w:rPr>
              <w:t>本次招标的服务期限为</w:t>
            </w:r>
            <w:r>
              <w:rPr>
                <w:rFonts w:ascii="仿宋_GB2312" w:hAnsi="仿宋_GB2312" w:cs="仿宋_GB2312" w:eastAsia="仿宋_GB2312"/>
                <w:sz w:val="28"/>
              </w:rPr>
              <w:t>合同签订之日起一</w:t>
            </w:r>
            <w:r>
              <w:rPr>
                <w:rFonts w:ascii="仿宋_GB2312" w:hAnsi="仿宋_GB2312" w:cs="仿宋_GB2312" w:eastAsia="仿宋_GB2312"/>
                <w:sz w:val="28"/>
              </w:rPr>
              <w:t>年。</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服务质量达到合格标准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合同签订后甲方根据乙方实际业务进展，跟乙方确认工作量，每半年按照实际确认的工作量据实结算，付款前乙方需向甲方开具等额增值税发票及收款收据</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合同签订后甲方根据乙方实际业务进展，跟乙方确认工作量，每半年按照实际确认的工作量据实结算，付款前乙方需向甲方开具等额增值税发票及收款收据</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详见合同内容</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磋商实行两轮报价。第一轮报价后，磋商小组可以根据项目实施情况调整采购需求，第二轮报价为最终报价。如采购需求没有实质性变化，各供应商的报价应逐次降低，本次报价超过上次报价的，为无效报价。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w:t>
            </w:r>
          </w:p>
        </w:tc>
        <w:tc>
          <w:tcPr>
            <w:tcW w:type="dxa" w:w="3322"/>
          </w:tcPr>
          <w:p>
            <w:pPr>
              <w:pStyle w:val="null3"/>
            </w:pPr>
            <w:r>
              <w:rPr>
                <w:rFonts w:ascii="仿宋_GB2312" w:hAnsi="仿宋_GB2312" w:cs="仿宋_GB2312" w:eastAsia="仿宋_GB2312"/>
              </w:rPr>
              <w:t>提供注册登记凭证（营业执照、其他组织经营的合法凭证、自然人的提供身份证明文件）；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财务会计证明材料</w:t>
            </w:r>
          </w:p>
        </w:tc>
        <w:tc>
          <w:tcPr>
            <w:tcW w:type="dxa" w:w="3322"/>
          </w:tcPr>
          <w:p>
            <w:pPr>
              <w:pStyle w:val="null3"/>
            </w:pPr>
            <w:r>
              <w:rPr>
                <w:rFonts w:ascii="仿宋_GB2312" w:hAnsi="仿宋_GB2312" w:cs="仿宋_GB2312" w:eastAsia="仿宋_GB2312"/>
              </w:rPr>
              <w:t>①2023或2024年度经审计的财务报告，包括四表一注，即资产负债表、利润表、现金流量表、所有者权益变动表及其附注；如为事业法人，提供部门决算报告；②或在开标日期前六个月内其基本开户银行出具的资信证明（附《基本存款账户信息》或《银行开户许可证》复印件）；③或财政部门认可的政府采购专业担保机构出具的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税收缴纳凭证</w:t>
            </w:r>
          </w:p>
        </w:tc>
        <w:tc>
          <w:tcPr>
            <w:tcW w:type="dxa" w:w="3322"/>
          </w:tcPr>
          <w:p>
            <w:pPr>
              <w:pStyle w:val="null3"/>
            </w:pPr>
            <w:r>
              <w:rPr>
                <w:rFonts w:ascii="仿宋_GB2312" w:hAnsi="仿宋_GB2312" w:cs="仿宋_GB2312" w:eastAsia="仿宋_GB2312"/>
              </w:rPr>
              <w:t>提供缴费所属日期为投标截止时间前12个月内任一月份（投标截止时间当月不计入）的增值税（或所得税）缴费凭据或税务机关出具的完税证明，依法免税的单位应提供相关证明材料；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社保缴纳凭证</w:t>
            </w:r>
          </w:p>
        </w:tc>
        <w:tc>
          <w:tcPr>
            <w:tcW w:type="dxa" w:w="3322"/>
          </w:tcPr>
          <w:p>
            <w:pPr>
              <w:pStyle w:val="null3"/>
            </w:pPr>
            <w:r>
              <w:rPr>
                <w:rFonts w:ascii="仿宋_GB2312" w:hAnsi="仿宋_GB2312" w:cs="仿宋_GB2312" w:eastAsia="仿宋_GB2312"/>
              </w:rPr>
              <w:t>提供缴费所属日期为投标截止时间前12个月内任一月份（投标截止时间当月不计入）的缴费凭据或社保机关出具的缴费证明；依法不需要缴纳社会保障资金的单位应提供相关证明材料；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声明文件</w:t>
            </w:r>
          </w:p>
        </w:tc>
        <w:tc>
          <w:tcPr>
            <w:tcW w:type="dxa" w:w="3322"/>
          </w:tcPr>
          <w:p>
            <w:pPr>
              <w:pStyle w:val="null3"/>
            </w:pPr>
            <w:r>
              <w:rPr>
                <w:rFonts w:ascii="仿宋_GB2312" w:hAnsi="仿宋_GB2312" w:cs="仿宋_GB2312" w:eastAsia="仿宋_GB2312"/>
              </w:rPr>
              <w:t>具有履行合同所必需的设备和专业技术能力声明文件；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授权合法的人员参加投标全过程</w:t>
            </w:r>
          </w:p>
        </w:tc>
        <w:tc>
          <w:tcPr>
            <w:tcW w:type="dxa" w:w="3322"/>
          </w:tcPr>
          <w:p>
            <w:pPr>
              <w:pStyle w:val="null3"/>
            </w:pPr>
            <w:r>
              <w:rPr>
                <w:rFonts w:ascii="仿宋_GB2312" w:hAnsi="仿宋_GB2312" w:cs="仿宋_GB2312" w:eastAsia="仿宋_GB2312"/>
              </w:rPr>
              <w:t>应授权合法的人员参加投标全过程，其中法定代表人直接参加投标的，须出具法人身份证，并与营业执照上信息一致。法定代表人授权代表参加投标的，须出具法定代表人授权书及被授权人投标截止时间前一个月的社会保险缴纳证明；</w:t>
            </w:r>
          </w:p>
        </w:tc>
        <w:tc>
          <w:tcPr>
            <w:tcW w:type="dxa" w:w="1661"/>
          </w:tcPr>
          <w:p>
            <w:pPr>
              <w:pStyle w:val="null3"/>
            </w:pPr>
            <w:r>
              <w:rPr>
                <w:rFonts w:ascii="仿宋_GB2312" w:hAnsi="仿宋_GB2312" w:cs="仿宋_GB2312" w:eastAsia="仿宋_GB2312"/>
              </w:rPr>
              <w:t>法定代表人身份证明.docx 法人授权委托书.docx 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投标人不得为“信用中国”网站（www.creditchina.gov.cn）和中国政府采购网（www.ccgp.gov.cn）中被列入失信被执行人、重大税收违法失信主体、政府采购严重违法失信行为记录名单的单位；</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单位负责人为同一人或者存在直接控股、管理关系的不同供应商，不得参加本次采购活动。</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（1）响应文件的签字、盖章：响应文件上法定代表人或其委托代理人的签字齐全并加盖单位公章，公章清晰可见； （2）响应文件格式：应符合响应文件要求； （3）报价唯一：只能有一个有效报价，不得提交选择性报价，且报价不超过招标最高限价。</w:t>
            </w:r>
          </w:p>
        </w:tc>
        <w:tc>
          <w:tcPr>
            <w:tcW w:type="dxa" w:w="1661"/>
          </w:tcPr>
          <w:p>
            <w:pPr>
              <w:pStyle w:val="null3"/>
            </w:pPr>
            <w:r>
              <w:rPr>
                <w:rFonts w:ascii="仿宋_GB2312" w:hAnsi="仿宋_GB2312" w:cs="仿宋_GB2312" w:eastAsia="仿宋_GB2312"/>
              </w:rPr>
              <w:t>服务内容及服务邀请应答表 法定代表人身份证明.docx 中小企业声明函 商务应答表 供应商应提交的相关资格证明材料 报价表 响应文件封面 残疾人福利性单位声明函 服务方案 法人授权委托书.docx 标的清单 响应函 类似业绩.docx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服务内容及服务邀请应答表 法定代表人身份证明.docx 中小企业声明函 商务应答表 供应商应提交的相关资格证明材料 报价表 响应文件封面 残疾人福利性单位声明函 服务方案 法人授权委托书.docx 标的清单 响应函 类似业绩.docx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（1）对磋商文件响应程度：服务内容完全响应，不能有任何采购人不能接受的附加条件； （2）服务期：自合同签订之日起一年； （3）磋商有效期 ：应满足磋商文件中的规定。</w:t>
            </w:r>
          </w:p>
        </w:tc>
        <w:tc>
          <w:tcPr>
            <w:tcW w:type="dxa" w:w="1661"/>
          </w:tcPr>
          <w:p>
            <w:pPr>
              <w:pStyle w:val="null3"/>
            </w:pPr>
            <w:r>
              <w:rPr>
                <w:rFonts w:ascii="仿宋_GB2312" w:hAnsi="仿宋_GB2312" w:cs="仿宋_GB2312" w:eastAsia="仿宋_GB2312"/>
              </w:rPr>
              <w:t>服务内容及服务邀请应答表 法定代表人身份证明.docx 中小企业声明函 商务应答表 供应商应提交的相关资格证明材料 报价表 响应文件封面 残疾人福利性单位声明函 服务方案 法人授权委托书.docx 标的清单 响应函 类似业绩.docx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项目理解及工作思路</w:t>
            </w:r>
          </w:p>
        </w:tc>
        <w:tc>
          <w:tcPr>
            <w:tcW w:type="dxa" w:w="2492"/>
          </w:tcPr>
          <w:p>
            <w:pPr>
              <w:pStyle w:val="null3"/>
            </w:pPr>
            <w:r>
              <w:rPr>
                <w:rFonts w:ascii="仿宋_GB2312" w:hAnsi="仿宋_GB2312" w:cs="仿宋_GB2312" w:eastAsia="仿宋_GB2312"/>
              </w:rPr>
              <w:t>对本项目要求理解程度和针对本项目的工作思路和方向进行评审。 分析理解准确、全面、透彻，对本项目工作的顺利开展有指导性意义得8分； 分析理解较为准确、全面、透彻，对本项目开展有较强的指导意义得6分； 分析理解基本准确但对本项目开展有一定的指导意义得4分；分析理解不够准确，指导意义差得2分； 分析理解偏离本项目需求得1分。 未提供相关内容不得分。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根据供应商针对本项目提供的实施方案，包括但不限于：①实地调研方案、②资料收集方案、③综合研判方案、④会议组织方案、⑤编制方案、⑥等级评价方案、⑦成果备案方案等。 每个单项方案内容完整、思路明晰合理、科学、实用、针对性强得3分； 每个单项方案内容相对完整、思路相对明晰合理、科学、实用、针对性相对合理得2分； 每个单项方案内容不够完整、思路不够明晰合理、针对性相对差得1分； 未提供相关内容不得分。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确保服务质量的技术组织措施</w:t>
            </w:r>
          </w:p>
        </w:tc>
        <w:tc>
          <w:tcPr>
            <w:tcW w:type="dxa" w:w="2492"/>
          </w:tcPr>
          <w:p>
            <w:pPr>
              <w:pStyle w:val="null3"/>
            </w:pPr>
            <w:r>
              <w:rPr>
                <w:rFonts w:ascii="仿宋_GB2312" w:hAnsi="仿宋_GB2312" w:cs="仿宋_GB2312" w:eastAsia="仿宋_GB2312"/>
              </w:rPr>
              <w:t>结合本项目实际情况，有详细完整的服务质量保证措施。 措施全面、具体、可行、科学合理，得8分； 措施比较全面、具体、可行、科学合理，得6分；措施基本全面、具体、合理，得4分； 措施较为笼统，合理性差，得2分； 措施存在较多缺漏，合理性较差，得1分； 未提供相关内容不得分。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供应商针对本项目采购内容有明确的调查进度安排，合理的成果交付时限且服务计划保证措施得当。 具有科学合理明确的工作进度计划，工作进度计划与实际需求的契合度高，时间节点把控清晰明确，对工作推进指导性强，得8分； 具有科学合理工作进度计划，工作进度计划与实际需求的契合度相对较高，时间节点把控准确，对工作推进指导性强，得6分； 具有相对科学合理的工作进度计划，工作进度计划与实际需求的契合度相对合理，时间节点把控相对准确，对工作推进指导性较强，得4分； 工作进度计划不太符合实际需求，相关时间节点的把控要求不太准确，对工作推进指导性较差，得2分； 工作进度计划不符合实际需求，相关时间节点的把控要求不准确，对工作推进指导性差，得1分；未提供相关内容不得分。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拟投入本项目人员配备方案</w:t>
            </w:r>
          </w:p>
        </w:tc>
        <w:tc>
          <w:tcPr>
            <w:tcW w:type="dxa" w:w="2492"/>
          </w:tcPr>
          <w:p>
            <w:pPr>
              <w:pStyle w:val="null3"/>
            </w:pPr>
            <w:r>
              <w:rPr>
                <w:rFonts w:ascii="仿宋_GB2312" w:hAnsi="仿宋_GB2312" w:cs="仿宋_GB2312" w:eastAsia="仿宋_GB2312"/>
              </w:rPr>
              <w:t>针对本项目有专项服务小组，人员配置齐全，岗位职责明确，组织架构科学，且人员都具有相关专业及工作经验并提供完整证明材料（包括但不限于人员学历、工作经验证明等） 人员分工明确得当、职责划分均阐述全面详细，且组织机构设置科学、岗位配备齐全，证明材料齐全得8分； 人员分工较明确、职责划分均阐述较完整，组织机构设置、岗位配备、职责划分较为合理，得6分； 人员分工基本明确、职责划分均阐述完整，组织机构设置、岗位配备、职责划分基本合理，得4分； 人员分工不够明确、职责划分阐述简短，组织机构设置、岗位配备不合理，得2分；人员分工不明确、内容笼统，得1分； 未提供相关内容不得分。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工作重、难点分析及解决</w:t>
            </w:r>
          </w:p>
        </w:tc>
        <w:tc>
          <w:tcPr>
            <w:tcW w:type="dxa" w:w="2492"/>
          </w:tcPr>
          <w:p>
            <w:pPr>
              <w:pStyle w:val="null3"/>
            </w:pPr>
            <w:r>
              <w:rPr>
                <w:rFonts w:ascii="仿宋_GB2312" w:hAnsi="仿宋_GB2312" w:cs="仿宋_GB2312" w:eastAsia="仿宋_GB2312"/>
              </w:rPr>
              <w:t>供应商提供针对本项目工作重点、难点分析及解决方案，对重点、难点分析准确，解决方案针对性强的得8分； 对重点、难点分析较准确、提出的解决方案有一定的针对性和可行性的得6分； 对重点、难点分析基本准确，解决方案有一定的针对性和可行性的得4分； 对重点、难点分析与项目实际情况存在偏离，部分解决方案的可行和合理的得2分； 对重点、难点有分析不准确，解决方案合理性、可行性差的得1分； 未提供相关内容不得分。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对能够完成本项目工作的服务承诺，包括不限于①方案调整、②服务保证、③工作效率、④针对本项目长期跟踪研究服务等。 以上内容每一项均有详细且针对性的说明得8分。 每缺一项内容的描述扣2分； 以上内容仅有描述但不够完善的，每有一项扣1分； 未提供相关内容不得分。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应急处置措施</w:t>
            </w:r>
          </w:p>
        </w:tc>
        <w:tc>
          <w:tcPr>
            <w:tcW w:type="dxa" w:w="2492"/>
          </w:tcPr>
          <w:p>
            <w:pPr>
              <w:pStyle w:val="null3"/>
            </w:pPr>
            <w:r>
              <w:rPr>
                <w:rFonts w:ascii="仿宋_GB2312" w:hAnsi="仿宋_GB2312" w:cs="仿宋_GB2312" w:eastAsia="仿宋_GB2312"/>
              </w:rPr>
              <w:t>供应商根据在服务过程中可能发生的特殊情况制定具有可操作性的应急处置措施， 措施内容科学具体，有针对性强，得6分； 措施内容比较具体，针对性较强，得4分； 措施内容不够具体，得2分；措施内容有缺漏，得1分；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从本项目实际情况出发，为保证服务质量提出合理化建议。 建议清晰、合理、完整、细节考虑到位，得5分； 建议基本合理、完整性一般，得4分； 建议简单、完整性较差，得2分； 建议存在严重缺漏，不具备合理性，得1分；未提供相关内容不得分。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提供自2022年7月1日起至今类似项目业绩（时间以签订的合同日期为准），业绩以合同为准，每提供一份计2.5分,最高得10分。注：合同内容须清晰可辨认，否则视为无效合同。</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类似业绩.docx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采用低价优先法计算，即满足竞争性磋商文件要求且最后磋商报价最低的磋商报价为评审基准价，其价格分为满分。其他供应商的价格分统一按照下列公式计算： 投标总报价得分＝（评审基准价/最后磋商报价）×10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详见附件：类似业绩.docx</w:t>
      </w:r>
    </w:p>
    <w:p>
      <w:pPr>
        <w:pStyle w:val="null3"/>
        <w:ind w:firstLine="960"/>
      </w:pPr>
      <w:r>
        <w:rPr>
          <w:rFonts w:ascii="仿宋_GB2312" w:hAnsi="仿宋_GB2312" w:cs="仿宋_GB2312" w:eastAsia="仿宋_GB2312"/>
        </w:rPr>
        <w:t>详见附件：法定代表人身份证明.docx</w:t>
      </w:r>
    </w:p>
    <w:p>
      <w:pPr>
        <w:pStyle w:val="null3"/>
        <w:ind w:firstLine="960"/>
      </w:pPr>
      <w:r>
        <w:rPr>
          <w:rFonts w:ascii="仿宋_GB2312" w:hAnsi="仿宋_GB2312" w:cs="仿宋_GB2312" w:eastAsia="仿宋_GB2312"/>
        </w:rPr>
        <w:t>详见附件：法人授权委托书.docx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详见附件：技术服务合同-土地报批.docx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