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0D8CF">
      <w:pPr>
        <w:pStyle w:val="2"/>
        <w:spacing w:line="360" w:lineRule="auto"/>
        <w:jc w:val="center"/>
        <w:rPr>
          <w:rFonts w:cs="宋体"/>
          <w:bCs w:val="0"/>
          <w:color w:val="auto"/>
          <w:sz w:val="40"/>
        </w:rPr>
      </w:pPr>
      <w:r>
        <w:rPr>
          <w:rFonts w:hint="eastAsia" w:ascii="仿宋" w:hAnsi="仿宋" w:eastAsia="仿宋" w:cs="宋体"/>
          <w:bCs w:val="0"/>
          <w:snapToGrid/>
          <w:color w:val="auto"/>
          <w:sz w:val="40"/>
          <w:szCs w:val="44"/>
          <w:lang w:eastAsia="zh-CN"/>
        </w:rPr>
        <w:t>分项报价表附表</w:t>
      </w:r>
    </w:p>
    <w:tbl>
      <w:tblPr>
        <w:tblStyle w:val="5"/>
        <w:tblW w:w="4996" w:type="pct"/>
        <w:tblInd w:w="0" w:type="dxa"/>
        <w:tblLayout w:type="fixed"/>
        <w:tblCellMar>
          <w:top w:w="0" w:type="dxa"/>
          <w:left w:w="108" w:type="dxa"/>
          <w:bottom w:w="0" w:type="dxa"/>
          <w:right w:w="108" w:type="dxa"/>
        </w:tblCellMar>
      </w:tblPr>
      <w:tblGrid>
        <w:gridCol w:w="602"/>
        <w:gridCol w:w="1096"/>
        <w:gridCol w:w="3273"/>
        <w:gridCol w:w="1138"/>
        <w:gridCol w:w="768"/>
        <w:gridCol w:w="1032"/>
        <w:gridCol w:w="605"/>
      </w:tblGrid>
      <w:tr w14:paraId="1125987D">
        <w:tblPrEx>
          <w:tblCellMar>
            <w:top w:w="0" w:type="dxa"/>
            <w:left w:w="108" w:type="dxa"/>
            <w:bottom w:w="0" w:type="dxa"/>
            <w:right w:w="108" w:type="dxa"/>
          </w:tblCellMar>
        </w:tblPrEx>
        <w:trPr>
          <w:trHeight w:val="1002"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8B6CA">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序号</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AC01E">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名称</w:t>
            </w:r>
          </w:p>
        </w:tc>
        <w:tc>
          <w:tcPr>
            <w:tcW w:w="19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409D8">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项目</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759F8">
            <w:pPr>
              <w:jc w:val="center"/>
              <w:textAlignment w:val="center"/>
              <w:rPr>
                <w:rFonts w:ascii="仿宋" w:hAnsi="仿宋" w:eastAsia="仿宋" w:cs="仿宋"/>
                <w:b/>
                <w:bCs/>
                <w:color w:val="auto"/>
                <w:sz w:val="24"/>
                <w:szCs w:val="24"/>
                <w:lang w:eastAsia="zh-CN" w:bidi="ar"/>
              </w:rPr>
            </w:pPr>
            <w:r>
              <w:rPr>
                <w:rFonts w:hint="eastAsia" w:ascii="仿宋" w:hAnsi="仿宋" w:eastAsia="仿宋" w:cs="仿宋"/>
                <w:b/>
                <w:bCs/>
                <w:color w:val="auto"/>
                <w:sz w:val="24"/>
                <w:szCs w:val="24"/>
                <w:lang w:eastAsia="zh-CN" w:bidi="ar"/>
              </w:rPr>
              <w:t>品牌、规格、型号</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56F4F">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单位</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998DD">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全费用综合单价</w:t>
            </w:r>
          </w:p>
        </w:tc>
        <w:tc>
          <w:tcPr>
            <w:tcW w:w="3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B05F">
            <w:pPr>
              <w:jc w:val="center"/>
              <w:textAlignment w:val="center"/>
              <w:rPr>
                <w:rFonts w:ascii="仿宋" w:hAnsi="仿宋" w:eastAsia="仿宋" w:cs="仿宋"/>
                <w:b/>
                <w:bCs/>
                <w:color w:val="auto"/>
                <w:sz w:val="24"/>
                <w:szCs w:val="24"/>
              </w:rPr>
            </w:pPr>
            <w:r>
              <w:rPr>
                <w:rFonts w:hint="eastAsia" w:ascii="仿宋" w:hAnsi="仿宋" w:eastAsia="仿宋" w:cs="仿宋"/>
                <w:b/>
                <w:bCs/>
                <w:color w:val="auto"/>
                <w:sz w:val="24"/>
                <w:szCs w:val="24"/>
                <w:lang w:eastAsia="zh-CN" w:bidi="ar"/>
              </w:rPr>
              <w:t>数量</w:t>
            </w:r>
          </w:p>
        </w:tc>
      </w:tr>
      <w:tr w14:paraId="6AFD3161">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DFE4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6FA9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消防栓刷漆</w:t>
            </w:r>
          </w:p>
        </w:tc>
        <w:tc>
          <w:tcPr>
            <w:tcW w:w="19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E60A3">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设施表面除锈、刷油漆</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1.人工除锈</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2.材料品种：聚氨酯丙烯酸2遍</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3.部位：消防栓表面</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1.专用工具除去重锈、中锈、浮锈</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2.用砂轮机除去结构上原有旧漆皮及锈迹、打磨清理</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3.刷油漆</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4A382">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345D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7A556">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D4C0D">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200</w:t>
            </w:r>
          </w:p>
        </w:tc>
      </w:tr>
      <w:tr w14:paraId="1182CED1">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F289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2</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0EBE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更换法兰</w:t>
            </w:r>
          </w:p>
        </w:tc>
        <w:tc>
          <w:tcPr>
            <w:tcW w:w="19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5DE77">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更换消防法兰</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1.拆除损坏法兰</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2.安装消防法兰</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2.检查质量、切管、加垫、接管、紧螺栓</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4.恢复</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485FC">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10D0">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67B30">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3F0CC">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40</w:t>
            </w:r>
          </w:p>
        </w:tc>
      </w:tr>
      <w:tr w14:paraId="60E1ACFC">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184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3</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9E8A78">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阀门安装</w:t>
            </w:r>
          </w:p>
        </w:tc>
        <w:tc>
          <w:tcPr>
            <w:tcW w:w="19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279BC">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1.公称直径:DN100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1.阀门安装</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B9780">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0A9E0">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82962">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99D8F">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40</w:t>
            </w:r>
          </w:p>
        </w:tc>
      </w:tr>
      <w:tr w14:paraId="7698E326">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F03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4</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FE81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阀门拆除</w:t>
            </w:r>
          </w:p>
        </w:tc>
        <w:tc>
          <w:tcPr>
            <w:tcW w:w="19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D0E14">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1.公称直径:DN100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2.连接方式:焊接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1.阀门拆除</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A442E">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86D5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4D5D6">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2DD15">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40</w:t>
            </w:r>
          </w:p>
        </w:tc>
      </w:tr>
      <w:tr w14:paraId="1DC2EFB4">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33D5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5</w:t>
            </w:r>
          </w:p>
        </w:tc>
        <w:tc>
          <w:tcPr>
            <w:tcW w:w="6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5FC58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胶垫安装</w:t>
            </w:r>
          </w:p>
        </w:tc>
        <w:tc>
          <w:tcPr>
            <w:tcW w:w="19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FC11A">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胶垫安装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1.部位:室外地上</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2.规格型号:阀门胶垫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1.安装</w:t>
            </w:r>
          </w:p>
        </w:tc>
        <w:tc>
          <w:tcPr>
            <w:tcW w:w="6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42B05">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A6FC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1A827">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751A3">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40</w:t>
            </w:r>
          </w:p>
        </w:tc>
      </w:tr>
      <w:tr w14:paraId="57E3BC09">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A8F8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6</w:t>
            </w:r>
          </w:p>
        </w:tc>
        <w:tc>
          <w:tcPr>
            <w:tcW w:w="644" w:type="pct"/>
            <w:tcBorders>
              <w:top w:val="single" w:color="000000" w:sz="4" w:space="0"/>
              <w:left w:val="single" w:color="000000" w:sz="4" w:space="0"/>
              <w:bottom w:val="nil"/>
              <w:right w:val="single" w:color="000000" w:sz="4" w:space="0"/>
            </w:tcBorders>
            <w:shd w:val="clear" w:color="auto" w:fill="auto"/>
            <w:vAlign w:val="center"/>
          </w:tcPr>
          <w:p w14:paraId="6A89531B">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螺杆安装</w:t>
            </w:r>
          </w:p>
        </w:tc>
        <w:tc>
          <w:tcPr>
            <w:tcW w:w="1922" w:type="pct"/>
            <w:tcBorders>
              <w:top w:val="single" w:color="000000" w:sz="4" w:space="0"/>
              <w:left w:val="single" w:color="000000" w:sz="4" w:space="0"/>
              <w:bottom w:val="nil"/>
              <w:right w:val="single" w:color="000000" w:sz="4" w:space="0"/>
            </w:tcBorders>
            <w:shd w:val="clear" w:color="auto" w:fill="auto"/>
            <w:vAlign w:val="center"/>
          </w:tcPr>
          <w:p w14:paraId="4D1CC6B0">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螺杆安装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1.部位:室外地上</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2.规格型号:螺杆</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1.安装</w:t>
            </w:r>
          </w:p>
        </w:tc>
        <w:tc>
          <w:tcPr>
            <w:tcW w:w="668" w:type="pct"/>
            <w:tcBorders>
              <w:top w:val="single" w:color="000000" w:sz="4" w:space="0"/>
              <w:left w:val="single" w:color="000000" w:sz="4" w:space="0"/>
              <w:bottom w:val="nil"/>
              <w:right w:val="single" w:color="000000" w:sz="4" w:space="0"/>
            </w:tcBorders>
            <w:shd w:val="clear" w:color="auto" w:fill="auto"/>
            <w:noWrap/>
            <w:vAlign w:val="center"/>
          </w:tcPr>
          <w:p w14:paraId="1A069910">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nil"/>
              <w:right w:val="single" w:color="000000" w:sz="4" w:space="0"/>
            </w:tcBorders>
            <w:shd w:val="clear" w:color="auto" w:fill="auto"/>
            <w:noWrap/>
            <w:vAlign w:val="center"/>
          </w:tcPr>
          <w:p w14:paraId="00ABD0D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nil"/>
              <w:right w:val="single" w:color="000000" w:sz="4" w:space="0"/>
            </w:tcBorders>
            <w:shd w:val="clear" w:color="auto" w:fill="auto"/>
            <w:noWrap/>
            <w:vAlign w:val="center"/>
          </w:tcPr>
          <w:p w14:paraId="3684EAFD">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nil"/>
              <w:right w:val="single" w:color="000000" w:sz="4" w:space="0"/>
            </w:tcBorders>
            <w:shd w:val="clear" w:color="auto" w:fill="auto"/>
            <w:noWrap/>
            <w:vAlign w:val="center"/>
          </w:tcPr>
          <w:p w14:paraId="12F704DF">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10</w:t>
            </w:r>
          </w:p>
        </w:tc>
      </w:tr>
      <w:tr w14:paraId="5A0DACDD">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47D6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7</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E7149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智能消防栓更换</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E779BD">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智能消火栓</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1.规格型号：智能SS100/</w:t>
            </w:r>
            <w:r>
              <w:rPr>
                <w:rFonts w:hint="eastAsia" w:ascii="仿宋" w:hAnsi="仿宋" w:eastAsia="仿宋" w:cs="仿宋"/>
                <w:color w:val="auto"/>
                <w:sz w:val="24"/>
                <w:szCs w:val="24"/>
                <w:lang w:val="en-US" w:eastAsia="zh-CN" w:bidi="ar"/>
              </w:rPr>
              <w:t>65</w:t>
            </w:r>
            <w:r>
              <w:rPr>
                <w:rFonts w:hint="eastAsia" w:ascii="仿宋" w:hAnsi="仿宋" w:eastAsia="仿宋" w:cs="仿宋"/>
                <w:color w:val="auto"/>
                <w:sz w:val="24"/>
                <w:szCs w:val="24"/>
                <w:lang w:eastAsia="zh-CN" w:bidi="ar"/>
              </w:rPr>
              <w:t>-1.</w:t>
            </w:r>
            <w:r>
              <w:rPr>
                <w:rFonts w:hint="eastAsia" w:ascii="仿宋" w:hAnsi="仿宋" w:eastAsia="仿宋" w:cs="仿宋"/>
                <w:color w:val="auto"/>
                <w:sz w:val="24"/>
                <w:szCs w:val="24"/>
                <w:lang w:val="en-US" w:eastAsia="zh-CN" w:bidi="ar"/>
              </w:rPr>
              <w:t>0ZN</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51D226">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F2937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5C57">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1D1F9">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170</w:t>
            </w:r>
          </w:p>
        </w:tc>
      </w:tr>
      <w:tr w14:paraId="4E8E000F">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C74D">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8</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65C76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下井清掏垃圾</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741D35">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下井清掏垃圾</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1.清掏种类:下井清掏</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2.工况等级:不含下井安全措施</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1.井下掏挖淤泥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2.垂直运输到地面</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3.垃圾转运</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4.垃圾外运</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备注：五人，鼓风机、防毒面罩、发电机，垃圾运距最短20公里，最远40公里</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89CF02">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F3C74">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m³</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47DC9">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CC7D">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30</w:t>
            </w:r>
          </w:p>
        </w:tc>
      </w:tr>
      <w:tr w14:paraId="7A1081CF">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20365">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9</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35E48A">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安装防坠网</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3873CC">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安装防坠网</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1.材料品种:防坠网</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2.参照：GB1-T11786-1989</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1.安装</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38325E">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65A1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EFD21">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37073">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200</w:t>
            </w:r>
          </w:p>
        </w:tc>
      </w:tr>
      <w:tr w14:paraId="6B3253B2">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73DC7">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10</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24494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阀门安装</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1158B7">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1.公称直径:DN150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2.连接方式:焊接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1.阀门安装</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C196B7">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64B86D">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C85FB">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4E19B">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50</w:t>
            </w:r>
          </w:p>
        </w:tc>
      </w:tr>
      <w:tr w14:paraId="2BDA52DB">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33A4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11</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19139E">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阀门拆除</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7EC43C">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阀门拆除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1.公称直径:DN150</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2.连接方式:焊接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3.阀门类型:闸阀  Z45X-16Q</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[工程内容]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1.阀门拆除</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B27B6A">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6E4A96">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0007">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23AA6">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50</w:t>
            </w:r>
          </w:p>
        </w:tc>
      </w:tr>
      <w:tr w14:paraId="6A8597E3">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EF3B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12</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B0980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消火栓增高节安装</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033662">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消火栓增高节</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1.规格型号：DN100/10cm</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6C4A7">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2F137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844D">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B8E61">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50</w:t>
            </w:r>
          </w:p>
        </w:tc>
      </w:tr>
      <w:tr w14:paraId="12AF54CD">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164E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13</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34E34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消火栓增高节安装</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6E0BD8">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消火栓增高节</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1.规格型号：DN100/20cm</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B775E0">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6A0628">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1A38D">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461BB">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40</w:t>
            </w:r>
          </w:p>
        </w:tc>
      </w:tr>
      <w:tr w14:paraId="52AB32EA">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F893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14</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54BAA4">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消火栓增高节安装</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9B5BB0">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消火栓增高节</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1.规格型号：DN100/30cm</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1.开挖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4.回填</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5.恢复</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FF62E6">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2E80FF">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A0C67">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DF5E7">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30</w:t>
            </w:r>
          </w:p>
        </w:tc>
      </w:tr>
      <w:tr w14:paraId="36150564">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32F88">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15</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889D0B">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更换球墨铸铁井圈盖</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E6447D">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更换球墨铸铁井圈盖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1.构件尺寸:φ700，球墨铸铁可调式防盗，检查井井盖</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1.旧井盖拆除</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2.新井盖安装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3.夜间施工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4.转运至市政堆场</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992600">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633631">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个</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B02F8">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6CA1">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20</w:t>
            </w:r>
          </w:p>
        </w:tc>
      </w:tr>
      <w:tr w14:paraId="62BF1F78">
        <w:tblPrEx>
          <w:tblCellMar>
            <w:top w:w="0" w:type="dxa"/>
            <w:left w:w="108" w:type="dxa"/>
            <w:bottom w:w="0" w:type="dxa"/>
            <w:right w:w="108" w:type="dxa"/>
          </w:tblCellMar>
        </w:tblPrEx>
        <w:trPr>
          <w:trHeight w:val="23"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54D4">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16</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4EC369">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 xml:space="preserve"> 钢丝绳安装</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174FFC">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钢丝绳安装</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1.规格型号：SS100/65-1.6</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1.钢丝绳安装</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C61861">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CEBB50">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根</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0079C">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22E64">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95</w:t>
            </w:r>
          </w:p>
        </w:tc>
      </w:tr>
      <w:tr w14:paraId="2B4DBD62">
        <w:tblPrEx>
          <w:tblCellMar>
            <w:top w:w="0" w:type="dxa"/>
            <w:left w:w="108" w:type="dxa"/>
            <w:bottom w:w="0" w:type="dxa"/>
            <w:right w:w="108" w:type="dxa"/>
          </w:tblCellMar>
        </w:tblPrEx>
        <w:trPr>
          <w:trHeight w:val="498" w:hRule="atLeast"/>
        </w:trPr>
        <w:tc>
          <w:tcPr>
            <w:tcW w:w="3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CD5C2">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17</w:t>
            </w:r>
          </w:p>
        </w:tc>
        <w:tc>
          <w:tcPr>
            <w:tcW w:w="64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DA2D7A">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日常巡查</w:t>
            </w:r>
          </w:p>
        </w:tc>
        <w:tc>
          <w:tcPr>
            <w:tcW w:w="19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9EB55C">
            <w:pPr>
              <w:textAlignment w:val="center"/>
              <w:rPr>
                <w:rFonts w:ascii="仿宋" w:hAnsi="仿宋" w:eastAsia="仿宋" w:cs="仿宋"/>
                <w:color w:val="auto"/>
                <w:sz w:val="24"/>
                <w:szCs w:val="24"/>
                <w:lang w:eastAsia="zh-CN"/>
              </w:rPr>
            </w:pPr>
            <w:r>
              <w:rPr>
                <w:rFonts w:hint="eastAsia" w:ascii="仿宋" w:hAnsi="仿宋" w:eastAsia="仿宋" w:cs="仿宋"/>
                <w:color w:val="auto"/>
                <w:sz w:val="24"/>
                <w:szCs w:val="24"/>
                <w:lang w:eastAsia="zh-CN" w:bidi="ar"/>
              </w:rPr>
              <w:t>日常巡查</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[项目特征]</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1.每天3人，1车</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[工作内容]</w:t>
            </w:r>
            <w:r>
              <w:rPr>
                <w:rFonts w:hint="eastAsia" w:ascii="仿宋" w:hAnsi="仿宋" w:eastAsia="仿宋" w:cs="仿宋"/>
                <w:color w:val="auto"/>
                <w:sz w:val="24"/>
                <w:szCs w:val="24"/>
                <w:lang w:eastAsia="zh-CN" w:bidi="ar"/>
              </w:rPr>
              <w:br w:type="textWrapping"/>
            </w:r>
            <w:r>
              <w:rPr>
                <w:rFonts w:hint="eastAsia" w:ascii="仿宋" w:hAnsi="仿宋" w:eastAsia="仿宋" w:cs="仿宋"/>
                <w:color w:val="auto"/>
                <w:sz w:val="24"/>
                <w:szCs w:val="24"/>
                <w:lang w:eastAsia="zh-CN" w:bidi="ar"/>
              </w:rPr>
              <w:t>检查沿线消防设施是否完好</w:t>
            </w:r>
          </w:p>
        </w:tc>
        <w:tc>
          <w:tcPr>
            <w:tcW w:w="66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14E1A1">
            <w:pPr>
              <w:textAlignment w:val="center"/>
              <w:rPr>
                <w:rFonts w:ascii="仿宋" w:hAnsi="仿宋" w:eastAsia="仿宋" w:cs="仿宋"/>
                <w:color w:val="auto"/>
                <w:sz w:val="24"/>
                <w:szCs w:val="24"/>
                <w:lang w:eastAsia="zh-CN" w:bidi="ar"/>
              </w:rPr>
            </w:pPr>
          </w:p>
        </w:tc>
        <w:tc>
          <w:tcPr>
            <w:tcW w:w="44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6ACE7C">
            <w:pPr>
              <w:jc w:val="center"/>
              <w:textAlignment w:val="center"/>
              <w:rPr>
                <w:rFonts w:ascii="仿宋" w:hAnsi="仿宋" w:eastAsia="仿宋" w:cs="仿宋"/>
                <w:color w:val="auto"/>
                <w:sz w:val="24"/>
                <w:szCs w:val="24"/>
              </w:rPr>
            </w:pPr>
            <w:r>
              <w:rPr>
                <w:rFonts w:hint="eastAsia" w:ascii="仿宋" w:hAnsi="仿宋" w:eastAsia="仿宋" w:cs="仿宋"/>
                <w:color w:val="auto"/>
                <w:sz w:val="24"/>
                <w:szCs w:val="24"/>
                <w:lang w:eastAsia="zh-CN" w:bidi="ar"/>
              </w:rPr>
              <w:t>天</w:t>
            </w:r>
          </w:p>
        </w:tc>
        <w:tc>
          <w:tcPr>
            <w:tcW w:w="6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15A8">
            <w:pPr>
              <w:jc w:val="center"/>
              <w:textAlignment w:val="center"/>
              <w:rPr>
                <w:rFonts w:ascii="仿宋" w:hAnsi="仿宋" w:eastAsia="仿宋" w:cs="仿宋"/>
                <w:color w:val="auto"/>
                <w:sz w:val="24"/>
                <w:szCs w:val="24"/>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55828">
            <w:pPr>
              <w:keepNext w:val="0"/>
              <w:keepLines w:val="0"/>
              <w:widowControl/>
              <w:suppressLineNumbers w:val="0"/>
              <w:jc w:val="center"/>
              <w:textAlignment w:val="center"/>
              <w:rPr>
                <w:rFonts w:ascii="仿宋" w:hAnsi="仿宋" w:eastAsia="仿宋" w:cs="仿宋"/>
                <w:color w:val="auto"/>
                <w:sz w:val="24"/>
                <w:szCs w:val="24"/>
              </w:rPr>
            </w:pPr>
            <w:r>
              <w:rPr>
                <w:rFonts w:hint="eastAsia" w:ascii="宋体" w:hAnsi="宋体" w:eastAsia="宋体" w:cs="宋体"/>
                <w:i w:val="0"/>
                <w:iCs w:val="0"/>
                <w:snapToGrid w:val="0"/>
                <w:color w:val="auto"/>
                <w:kern w:val="0"/>
                <w:sz w:val="24"/>
                <w:szCs w:val="24"/>
                <w:u w:val="none"/>
                <w:lang w:val="en-US" w:eastAsia="zh-CN" w:bidi="ar"/>
              </w:rPr>
              <w:t>360</w:t>
            </w:r>
          </w:p>
        </w:tc>
      </w:tr>
      <w:tr w14:paraId="1911FA74">
        <w:tblPrEx>
          <w:tblCellMar>
            <w:top w:w="0" w:type="dxa"/>
            <w:left w:w="108" w:type="dxa"/>
            <w:bottom w:w="0" w:type="dxa"/>
            <w:right w:w="108" w:type="dxa"/>
          </w:tblCellMar>
        </w:tblPrEx>
        <w:trPr>
          <w:trHeight w:val="962" w:hRule="atLeast"/>
        </w:trPr>
        <w:tc>
          <w:tcPr>
            <w:tcW w:w="403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ABA8B">
            <w:pPr>
              <w:jc w:val="center"/>
              <w:textAlignment w:val="center"/>
              <w:rPr>
                <w:rFonts w:ascii="仿宋" w:hAnsi="仿宋" w:eastAsia="仿宋" w:cs="仿宋"/>
                <w:color w:val="auto"/>
                <w:sz w:val="24"/>
                <w:szCs w:val="24"/>
                <w:lang w:eastAsia="zh-CN" w:bidi="ar"/>
              </w:rPr>
            </w:pPr>
            <w:r>
              <w:rPr>
                <w:rFonts w:hint="eastAsia" w:ascii="仿宋" w:hAnsi="仿宋" w:eastAsia="仿宋" w:cs="仿宋"/>
                <w:color w:val="auto"/>
                <w:sz w:val="24"/>
                <w:szCs w:val="24"/>
                <w:lang w:eastAsia="zh-CN" w:bidi="ar"/>
              </w:rPr>
              <w:t>合计（元）</w:t>
            </w:r>
          </w:p>
        </w:tc>
        <w:tc>
          <w:tcPr>
            <w:tcW w:w="96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358B8">
            <w:pPr>
              <w:jc w:val="center"/>
              <w:textAlignment w:val="center"/>
              <w:rPr>
                <w:rFonts w:ascii="仿宋" w:hAnsi="仿宋" w:eastAsia="仿宋" w:cs="仿宋"/>
                <w:color w:val="auto"/>
                <w:sz w:val="24"/>
                <w:szCs w:val="24"/>
                <w:lang w:eastAsia="zh-CN" w:bidi="ar"/>
              </w:rPr>
            </w:pPr>
          </w:p>
        </w:tc>
      </w:tr>
    </w:tbl>
    <w:p w14:paraId="2BAEE6EE">
      <w:pPr>
        <w:spacing w:line="560" w:lineRule="exac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1、供应商所报全费用综合单价均不得高于相应全费用综合单价限价，否则按无效响应处理。</w:t>
      </w:r>
    </w:p>
    <w:p w14:paraId="2AA68AE3">
      <w:pPr>
        <w:suppressAutoHyphens/>
        <w:spacing w:line="560" w:lineRule="exac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2、根据成交全费用综合单价及实际发生数量据实结算，本次采购清单数量</w:t>
      </w:r>
      <w:r>
        <w:rPr>
          <w:rFonts w:hint="eastAsia" w:ascii="仿宋" w:hAnsi="仿宋" w:eastAsia="仿宋" w:cs="仿宋"/>
          <w:color w:val="auto"/>
          <w:sz w:val="28"/>
          <w:szCs w:val="28"/>
          <w:lang w:val="en-US" w:eastAsia="zh-CN"/>
        </w:rPr>
        <w:t>为暂定数量</w:t>
      </w:r>
      <w:r>
        <w:rPr>
          <w:rFonts w:hint="eastAsia" w:ascii="仿宋" w:hAnsi="仿宋" w:eastAsia="仿宋" w:cs="仿宋"/>
          <w:color w:val="auto"/>
          <w:sz w:val="28"/>
          <w:szCs w:val="28"/>
          <w:lang w:eastAsia="zh-CN"/>
        </w:rPr>
        <w:t>。磋商响应报价仅作为价格评审依据，签订合同时以预算金额作为合同暂定金额。</w:t>
      </w:r>
    </w:p>
    <w:p w14:paraId="388642D0">
      <w:pPr>
        <w:suppressAutoHyphens/>
        <w:spacing w:line="560" w:lineRule="exac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3、二次报价中分项报价按照最终报价与第一次报价的比例进行同比例下浮。</w:t>
      </w:r>
    </w:p>
    <w:p w14:paraId="6C575F26">
      <w:pPr>
        <w:pStyle w:val="7"/>
        <w:spacing w:line="500" w:lineRule="exact"/>
        <w:jc w:val="left"/>
        <w:rPr>
          <w:rFonts w:ascii="仿宋" w:hAnsi="仿宋" w:eastAsia="仿宋" w:cs="仿宋"/>
          <w:b w:val="0"/>
          <w:color w:val="auto"/>
          <w:kern w:val="2"/>
          <w:sz w:val="28"/>
          <w:szCs w:val="28"/>
          <w:lang w:val="zh-CN" w:eastAsia="zh-CN"/>
        </w:rPr>
      </w:pPr>
    </w:p>
    <w:p w14:paraId="3CD02E37">
      <w:pPr>
        <w:pStyle w:val="7"/>
        <w:spacing w:line="500" w:lineRule="exact"/>
        <w:ind w:firstLine="2660" w:firstLineChars="950"/>
        <w:jc w:val="both"/>
        <w:rPr>
          <w:rFonts w:ascii="仿宋" w:hAnsi="仿宋" w:eastAsia="仿宋" w:cs="仿宋"/>
          <w:b w:val="0"/>
          <w:color w:val="auto"/>
          <w:kern w:val="2"/>
          <w:sz w:val="28"/>
          <w:szCs w:val="28"/>
          <w:lang w:val="zh-CN" w:eastAsia="zh-CN"/>
        </w:rPr>
      </w:pPr>
    </w:p>
    <w:p w14:paraId="37DDD61E">
      <w:pPr>
        <w:pStyle w:val="7"/>
        <w:spacing w:line="360" w:lineRule="auto"/>
        <w:ind w:firstLine="1680" w:firstLineChars="6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供</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应</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商：</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u w:val="single"/>
          <w:lang w:eastAsia="zh-CN"/>
        </w:rPr>
        <w:t xml:space="preserve">  </w:t>
      </w:r>
      <w:r>
        <w:rPr>
          <w:rFonts w:hint="eastAsia" w:ascii="仿宋" w:hAnsi="仿宋" w:eastAsia="仿宋" w:cs="仿宋"/>
          <w:b w:val="0"/>
          <w:color w:val="auto"/>
          <w:kern w:val="2"/>
          <w:sz w:val="28"/>
          <w:szCs w:val="28"/>
          <w:lang w:val="zh-CN" w:eastAsia="zh-CN"/>
        </w:rPr>
        <w:t>（公</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章）</w:t>
      </w:r>
    </w:p>
    <w:p w14:paraId="42761BE9">
      <w:pPr>
        <w:pStyle w:val="7"/>
        <w:spacing w:line="360" w:lineRule="auto"/>
        <w:ind w:firstLine="1680" w:firstLineChars="600"/>
        <w:jc w:val="both"/>
        <w:rPr>
          <w:rFonts w:ascii="仿宋" w:hAnsi="仿宋" w:eastAsia="仿宋" w:cs="仿宋"/>
          <w:b w:val="0"/>
          <w:color w:val="auto"/>
          <w:kern w:val="2"/>
          <w:sz w:val="28"/>
          <w:szCs w:val="28"/>
          <w:lang w:val="zh-CN" w:eastAsia="zh-CN"/>
        </w:rPr>
      </w:pPr>
      <w:r>
        <w:rPr>
          <w:rFonts w:hint="eastAsia" w:ascii="仿宋" w:hAnsi="仿宋" w:eastAsia="仿宋" w:cs="仿宋"/>
          <w:b w:val="0"/>
          <w:color w:val="auto"/>
          <w:kern w:val="2"/>
          <w:sz w:val="28"/>
          <w:szCs w:val="28"/>
          <w:lang w:val="zh-CN" w:eastAsia="zh-CN"/>
        </w:rPr>
        <w:t>法定代表人或被授权委托人：</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（签字或盖章）</w:t>
      </w:r>
    </w:p>
    <w:p w14:paraId="42F9E215">
      <w:pPr>
        <w:pStyle w:val="7"/>
        <w:spacing w:line="360" w:lineRule="auto"/>
        <w:ind w:firstLine="1680" w:firstLineChars="600"/>
        <w:jc w:val="both"/>
        <w:rPr>
          <w:rFonts w:ascii="仿宋" w:hAnsi="仿宋" w:eastAsia="仿宋" w:cs="仿宋"/>
          <w:color w:val="auto"/>
          <w:sz w:val="28"/>
          <w:szCs w:val="28"/>
          <w:lang w:val="zh-CN" w:eastAsia="zh-CN"/>
        </w:rPr>
      </w:pPr>
      <w:bookmarkStart w:id="0" w:name="_GoBack"/>
      <w:bookmarkEnd w:id="0"/>
      <w:r>
        <w:rPr>
          <w:rFonts w:hint="eastAsia" w:ascii="仿宋" w:hAnsi="仿宋" w:eastAsia="仿宋" w:cs="仿宋"/>
          <w:b w:val="0"/>
          <w:color w:val="auto"/>
          <w:kern w:val="2"/>
          <w:sz w:val="28"/>
          <w:szCs w:val="28"/>
          <w:lang w:val="zh-CN" w:eastAsia="zh-CN"/>
        </w:rPr>
        <w:t xml:space="preserve">日   </w:t>
      </w:r>
      <w:r>
        <w:rPr>
          <w:rFonts w:hint="eastAsia" w:ascii="仿宋" w:hAnsi="仿宋" w:eastAsia="仿宋" w:cs="仿宋"/>
          <w:b w:val="0"/>
          <w:color w:val="auto"/>
          <w:kern w:val="2"/>
          <w:sz w:val="28"/>
          <w:szCs w:val="28"/>
          <w:lang w:eastAsia="zh-CN"/>
        </w:rPr>
        <w:t xml:space="preserve"> </w:t>
      </w:r>
      <w:r>
        <w:rPr>
          <w:rFonts w:hint="eastAsia" w:ascii="仿宋" w:hAnsi="仿宋" w:eastAsia="仿宋" w:cs="仿宋"/>
          <w:b w:val="0"/>
          <w:color w:val="auto"/>
          <w:kern w:val="2"/>
          <w:sz w:val="28"/>
          <w:szCs w:val="28"/>
          <w:lang w:val="zh-CN" w:eastAsia="zh-CN"/>
        </w:rPr>
        <w:t xml:space="preserve">  期：</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年</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月</w:t>
      </w:r>
      <w:r>
        <w:rPr>
          <w:rFonts w:hint="eastAsia" w:ascii="仿宋" w:hAnsi="仿宋" w:eastAsia="仿宋" w:cs="仿宋"/>
          <w:b w:val="0"/>
          <w:color w:val="auto"/>
          <w:kern w:val="2"/>
          <w:sz w:val="28"/>
          <w:szCs w:val="28"/>
          <w:u w:val="single"/>
          <w:lang w:val="zh-CN" w:eastAsia="zh-CN"/>
        </w:rPr>
        <w:t xml:space="preserve">    </w:t>
      </w:r>
      <w:r>
        <w:rPr>
          <w:rFonts w:hint="eastAsia" w:ascii="仿宋" w:hAnsi="仿宋" w:eastAsia="仿宋" w:cs="仿宋"/>
          <w:b w:val="0"/>
          <w:color w:val="auto"/>
          <w:kern w:val="2"/>
          <w:sz w:val="28"/>
          <w:szCs w:val="28"/>
          <w:lang w:val="zh-CN" w:eastAsia="zh-CN"/>
        </w:rPr>
        <w:t>日</w:t>
      </w:r>
    </w:p>
    <w:p w14:paraId="3B236A49">
      <w:pPr>
        <w:pStyle w:val="3"/>
        <w:rPr>
          <w:color w:val="auto"/>
          <w:lang w:val="zh-CN"/>
        </w:rPr>
      </w:pPr>
    </w:p>
    <w:p w14:paraId="32E009D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821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4"/>
    <w:next w:val="4"/>
    <w:semiHidden/>
    <w:qFormat/>
    <w:uiPriority w:val="0"/>
    <w:pPr>
      <w:jc w:val="center"/>
    </w:pPr>
    <w:rPr>
      <w:rFonts w:ascii="仿宋" w:hAnsi="仿宋" w:eastAsia="仿宋" w:cs="仿宋"/>
      <w:b/>
      <w:bCs/>
      <w:sz w:val="32"/>
      <w:szCs w:val="44"/>
    </w:rPr>
  </w:style>
  <w:style w:type="paragraph" w:customStyle="1" w:styleId="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7">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2025-07-24T09:13:27Z</dcterms:created>
  <dc:creator>ASUS</dc:creator>
  <cp:lastModifiedBy>Cat</cp:lastModifiedBy>
  <dcterms:modified xsi:type="dcterms:W3CDTF">2025-07-24T09:13:53Z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9C32058DC4124544BE4E4DBC16AA5411_12</vt:lpwstr>
  </property>
</Properties>
</file>