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E624">
      <w:pPr>
        <w:pStyle w:val="3"/>
        <w:spacing w:after="0" w:line="360" w:lineRule="auto"/>
        <w:jc w:val="center"/>
        <w:rPr>
          <w:rFonts w:ascii="仿宋" w:hAnsi="仿宋" w:eastAsia="仿宋" w:cs="宋体"/>
          <w:color w:val="auto"/>
          <w:spacing w:val="6"/>
          <w:sz w:val="36"/>
          <w:szCs w:val="32"/>
          <w:lang w:eastAsia="zh-CN"/>
        </w:rPr>
      </w:pPr>
      <w:r>
        <w:rPr>
          <w:rFonts w:ascii="仿宋" w:hAnsi="仿宋" w:eastAsia="仿宋" w:cs="宋体"/>
          <w:color w:val="auto"/>
          <w:spacing w:val="6"/>
          <w:sz w:val="36"/>
          <w:szCs w:val="32"/>
          <w:lang w:eastAsia="zh-CN"/>
        </w:rPr>
        <w:t>第八章 拟签订采购合同文本</w:t>
      </w:r>
    </w:p>
    <w:p w14:paraId="5A1DA6CF">
      <w:pPr>
        <w:spacing w:line="500" w:lineRule="atLeast"/>
        <w:rPr>
          <w:rFonts w:ascii="仿宋" w:hAnsi="仿宋" w:eastAsia="仿宋" w:cs="仿宋"/>
          <w:b/>
          <w:bCs/>
          <w:color w:val="auto"/>
          <w:sz w:val="40"/>
          <w:szCs w:val="40"/>
          <w:lang w:eastAsia="zh-CN"/>
        </w:rPr>
      </w:pPr>
    </w:p>
    <w:p w14:paraId="64F75430">
      <w:pPr>
        <w:pStyle w:val="5"/>
        <w:rPr>
          <w:color w:val="auto"/>
        </w:rPr>
      </w:pPr>
    </w:p>
    <w:p w14:paraId="033816A6">
      <w:pPr>
        <w:pStyle w:val="5"/>
        <w:rPr>
          <w:color w:val="auto"/>
        </w:rPr>
      </w:pPr>
    </w:p>
    <w:p w14:paraId="3C7AB0AF">
      <w:pPr>
        <w:rPr>
          <w:color w:val="auto"/>
          <w:lang w:eastAsia="zh-CN"/>
        </w:rPr>
      </w:pPr>
    </w:p>
    <w:p w14:paraId="1FB43E3A">
      <w:pPr>
        <w:rPr>
          <w:rFonts w:ascii="仿宋" w:hAnsi="仿宋" w:eastAsia="仿宋" w:cs="仿宋"/>
          <w:color w:val="auto"/>
          <w:lang w:eastAsia="zh-CN"/>
        </w:rPr>
      </w:pPr>
    </w:p>
    <w:p w14:paraId="68957F9B">
      <w:pPr>
        <w:jc w:val="center"/>
        <w:rPr>
          <w:rFonts w:ascii="仿宋" w:hAnsi="仿宋" w:eastAsia="仿宋" w:cs="仿宋"/>
          <w:b/>
          <w:color w:val="auto"/>
          <w:sz w:val="28"/>
          <w:szCs w:val="36"/>
          <w:lang w:eastAsia="zh-CN"/>
        </w:rPr>
      </w:pPr>
      <w:r>
        <w:rPr>
          <w:rFonts w:hint="eastAsia" w:ascii="仿宋" w:hAnsi="仿宋" w:eastAsia="仿宋" w:cs="仿宋"/>
          <w:b/>
          <w:color w:val="auto"/>
          <w:sz w:val="48"/>
          <w:szCs w:val="72"/>
          <w:lang w:eastAsia="zh-CN"/>
        </w:rPr>
        <w:t>西安高新区万达330千伏变电站配套电力沟道地质勘测项目</w:t>
      </w:r>
    </w:p>
    <w:p w14:paraId="7AACC86B">
      <w:pPr>
        <w:jc w:val="center"/>
        <w:rPr>
          <w:rFonts w:ascii="仿宋" w:hAnsi="仿宋" w:eastAsia="仿宋" w:cs="仿宋"/>
          <w:b/>
          <w:color w:val="auto"/>
          <w:sz w:val="56"/>
          <w:szCs w:val="56"/>
          <w:lang w:eastAsia="zh-CN"/>
        </w:rPr>
      </w:pPr>
    </w:p>
    <w:p w14:paraId="4DA856B1">
      <w:pPr>
        <w:pStyle w:val="7"/>
        <w:rPr>
          <w:rFonts w:ascii="仿宋" w:hAnsi="仿宋" w:eastAsia="仿宋" w:cs="仿宋"/>
          <w:b/>
          <w:color w:val="auto"/>
          <w:sz w:val="56"/>
          <w:szCs w:val="56"/>
          <w:lang w:eastAsia="zh-CN"/>
        </w:rPr>
      </w:pPr>
    </w:p>
    <w:p w14:paraId="37ED8C68">
      <w:pPr>
        <w:rPr>
          <w:color w:val="auto"/>
          <w:lang w:eastAsia="zh-CN"/>
        </w:rPr>
      </w:pPr>
    </w:p>
    <w:p w14:paraId="0C6CCF9D">
      <w:pPr>
        <w:jc w:val="center"/>
        <w:rPr>
          <w:rFonts w:ascii="仿宋" w:hAnsi="仿宋" w:eastAsia="仿宋" w:cs="仿宋"/>
          <w:b/>
          <w:color w:val="auto"/>
          <w:sz w:val="56"/>
          <w:szCs w:val="56"/>
          <w:lang w:eastAsia="zh-CN"/>
        </w:rPr>
      </w:pPr>
      <w:r>
        <w:rPr>
          <w:rFonts w:hint="eastAsia" w:ascii="仿宋" w:hAnsi="仿宋" w:eastAsia="仿宋" w:cs="仿宋"/>
          <w:b/>
          <w:color w:val="auto"/>
          <w:sz w:val="56"/>
          <w:szCs w:val="56"/>
          <w:lang w:eastAsia="zh-CN"/>
        </w:rPr>
        <w:t>合 同 主 要 条 款</w:t>
      </w:r>
    </w:p>
    <w:p w14:paraId="49009E1F">
      <w:pPr>
        <w:pStyle w:val="5"/>
        <w:rPr>
          <w:color w:val="auto"/>
        </w:rPr>
      </w:pPr>
    </w:p>
    <w:p w14:paraId="0E13AAE0">
      <w:pPr>
        <w:pStyle w:val="4"/>
        <w:rPr>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1474E3C6">
      <w:pPr>
        <w:jc w:val="center"/>
        <w:rPr>
          <w:rFonts w:ascii="仿宋" w:hAnsi="仿宋" w:eastAsia="仿宋" w:cs="仿宋"/>
          <w:b/>
          <w:color w:val="auto"/>
          <w:sz w:val="48"/>
          <w:szCs w:val="48"/>
          <w:lang w:eastAsia="zh-CN"/>
        </w:rPr>
      </w:pPr>
    </w:p>
    <w:p w14:paraId="2B7ECC7B">
      <w:pPr>
        <w:jc w:val="center"/>
        <w:rPr>
          <w:rFonts w:ascii="仿宋" w:hAnsi="仿宋" w:eastAsia="仿宋" w:cs="仿宋"/>
          <w:b/>
          <w:bCs/>
          <w:color w:val="auto"/>
          <w:sz w:val="30"/>
          <w:szCs w:val="30"/>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72923B91">
      <w:pPr>
        <w:rPr>
          <w:rFonts w:ascii="仿宋" w:hAnsi="仿宋" w:eastAsia="仿宋" w:cs="仿宋"/>
          <w:b/>
          <w:color w:val="auto"/>
          <w:lang w:eastAsia="zh-CN"/>
        </w:rPr>
      </w:pPr>
    </w:p>
    <w:p w14:paraId="2776F89C">
      <w:pPr>
        <w:rPr>
          <w:rFonts w:ascii="仿宋" w:hAnsi="仿宋" w:eastAsia="仿宋" w:cs="仿宋"/>
          <w:b/>
          <w:color w:val="auto"/>
          <w:lang w:eastAsia="zh-CN"/>
        </w:rPr>
      </w:pPr>
    </w:p>
    <w:p w14:paraId="5A46103B">
      <w:pPr>
        <w:rPr>
          <w:rFonts w:ascii="仿宋" w:hAnsi="仿宋" w:eastAsia="仿宋" w:cs="仿宋"/>
          <w:b/>
          <w:color w:val="auto"/>
          <w:lang w:eastAsia="zh-CN"/>
        </w:rPr>
      </w:pPr>
    </w:p>
    <w:p w14:paraId="16FDFEA4">
      <w:pPr>
        <w:rPr>
          <w:rFonts w:ascii="仿宋" w:hAnsi="仿宋" w:eastAsia="仿宋" w:cs="仿宋"/>
          <w:b/>
          <w:color w:val="auto"/>
          <w:lang w:eastAsia="zh-CN"/>
        </w:rPr>
      </w:pPr>
    </w:p>
    <w:p w14:paraId="6F049BE3">
      <w:pPr>
        <w:rPr>
          <w:color w:val="auto"/>
          <w:lang w:eastAsia="zh-CN"/>
        </w:rPr>
      </w:pPr>
    </w:p>
    <w:p w14:paraId="26DEEAC3">
      <w:pPr>
        <w:pStyle w:val="5"/>
        <w:rPr>
          <w:rFonts w:ascii="Times New Roman" w:hAnsi="Times New Roman"/>
          <w:color w:val="auto"/>
        </w:rPr>
      </w:pPr>
    </w:p>
    <w:p w14:paraId="2B3FC7E7">
      <w:pPr>
        <w:rPr>
          <w:color w:val="auto"/>
          <w:lang w:eastAsia="zh-CN"/>
        </w:rPr>
      </w:pPr>
    </w:p>
    <w:p w14:paraId="4F408B19">
      <w:pPr>
        <w:pStyle w:val="5"/>
        <w:rPr>
          <w:color w:val="auto"/>
        </w:rPr>
      </w:pPr>
    </w:p>
    <w:p w14:paraId="2616E0EE">
      <w:pPr>
        <w:rPr>
          <w:color w:val="auto"/>
          <w:lang w:eastAsia="zh-CN"/>
        </w:rPr>
      </w:pPr>
    </w:p>
    <w:p w14:paraId="7D4EC244">
      <w:pPr>
        <w:pStyle w:val="5"/>
        <w:rPr>
          <w:color w:val="auto"/>
        </w:rPr>
      </w:pPr>
    </w:p>
    <w:p w14:paraId="359C9DE4">
      <w:pPr>
        <w:spacing w:line="360" w:lineRule="auto"/>
        <w:ind w:left="1377" w:hanging="1469" w:hangingChars="400"/>
        <w:jc w:val="center"/>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甲方(采购人)：</w:t>
      </w:r>
      <w:r>
        <w:rPr>
          <w:rFonts w:hint="eastAsia" w:ascii="仿宋" w:hAnsi="仿宋" w:eastAsia="仿宋" w:cs="仿宋"/>
          <w:color w:val="auto"/>
          <w:spacing w:val="23"/>
          <w:sz w:val="28"/>
          <w:szCs w:val="28"/>
          <w:u w:val="single"/>
          <w:lang w:eastAsia="zh-CN"/>
        </w:rPr>
        <w:t></w:t>
      </w:r>
    </w:p>
    <w:p w14:paraId="43922468">
      <w:pPr>
        <w:spacing w:line="360" w:lineRule="auto"/>
        <w:ind w:left="840" w:hanging="840" w:hangingChars="400"/>
        <w:jc w:val="center"/>
        <w:rPr>
          <w:rFonts w:ascii="仿宋" w:hAnsi="仿宋" w:eastAsia="仿宋" w:cs="仿宋"/>
          <w:color w:val="auto"/>
          <w:spacing w:val="23"/>
          <w:sz w:val="28"/>
          <w:szCs w:val="28"/>
          <w:u w:val="single"/>
          <w:lang w:eastAsia="zh-CN"/>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w:t>
      </w:r>
    </w:p>
    <w:p w14:paraId="6DB050A0">
      <w:pPr>
        <w:spacing w:line="500" w:lineRule="atLeast"/>
        <w:jc w:val="center"/>
        <w:rPr>
          <w:rFonts w:ascii="仿宋" w:hAnsi="仿宋" w:eastAsia="仿宋" w:cs="仿宋"/>
          <w:b/>
          <w:bCs/>
          <w:color w:val="auto"/>
          <w:sz w:val="40"/>
          <w:szCs w:val="40"/>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4A6D8817">
      <w:pPr>
        <w:keepNext w:val="0"/>
        <w:keepLines w:val="0"/>
        <w:pageBreakBefore w:val="0"/>
        <w:widowControl/>
        <w:tabs>
          <w:tab w:val="left" w:pos="1620"/>
        </w:tabs>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36"/>
          <w:szCs w:val="36"/>
          <w:highlight w:val="none"/>
          <w:lang w:bidi="ar"/>
        </w:rPr>
      </w:pPr>
    </w:p>
    <w:p w14:paraId="5797F9F0">
      <w:pPr>
        <w:keepNext w:val="0"/>
        <w:keepLines w:val="0"/>
        <w:pageBreakBefore w:val="0"/>
        <w:widowControl/>
        <w:tabs>
          <w:tab w:val="left" w:pos="1620"/>
        </w:tabs>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36"/>
          <w:szCs w:val="36"/>
          <w:highlight w:val="none"/>
          <w:lang w:bidi="ar"/>
        </w:rPr>
      </w:pPr>
      <w:r>
        <w:rPr>
          <w:rFonts w:hint="eastAsia" w:ascii="仿宋" w:hAnsi="仿宋" w:eastAsia="仿宋" w:cs="仿宋"/>
          <w:b/>
          <w:color w:val="auto"/>
          <w:sz w:val="36"/>
          <w:szCs w:val="36"/>
          <w:highlight w:val="none"/>
          <w:lang w:bidi="ar"/>
        </w:rPr>
        <w:t>合同主要条款</w:t>
      </w:r>
    </w:p>
    <w:p w14:paraId="5971EB7C">
      <w:pPr>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1A961D1D">
      <w:pPr>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p>
    <w:p w14:paraId="5E8EE4CF">
      <w:pPr>
        <w:keepNext w:val="0"/>
        <w:keepLines w:val="0"/>
        <w:pageBreakBefore w:val="0"/>
        <w:widowControl/>
        <w:kinsoku/>
        <w:wordWrap/>
        <w:overflowPunct/>
        <w:topLinePunct w:val="0"/>
        <w:bidi w:val="0"/>
        <w:snapToGrid w:val="0"/>
        <w:spacing w:line="348" w:lineRule="auto"/>
        <w:ind w:right="-197" w:rightChars="-94" w:firstLine="420" w:firstLineChars="15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甲乙双方根据</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政府采购项目第</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号采购结果及相关</w:t>
      </w:r>
      <w:r>
        <w:rPr>
          <w:rFonts w:hint="eastAsia" w:ascii="仿宋" w:hAnsi="仿宋" w:eastAsia="仿宋" w:cs="仿宋"/>
          <w:color w:val="auto"/>
          <w:sz w:val="28"/>
          <w:szCs w:val="28"/>
          <w:highlight w:val="none"/>
          <w:lang w:val="en-US" w:eastAsia="zh-CN"/>
        </w:rPr>
        <w:t>磋商文件</w:t>
      </w:r>
      <w:r>
        <w:rPr>
          <w:rFonts w:hint="eastAsia" w:ascii="仿宋" w:hAnsi="仿宋" w:eastAsia="仿宋" w:cs="仿宋"/>
          <w:color w:val="auto"/>
          <w:kern w:val="0"/>
          <w:sz w:val="28"/>
          <w:szCs w:val="28"/>
          <w:highlight w:val="none"/>
        </w:rPr>
        <w:t>及</w:t>
      </w:r>
      <w:r>
        <w:rPr>
          <w:rFonts w:hint="eastAsia" w:ascii="仿宋" w:hAnsi="仿宋" w:eastAsia="仿宋" w:cs="仿宋"/>
          <w:color w:val="auto"/>
          <w:kern w:val="0"/>
          <w:sz w:val="28"/>
          <w:szCs w:val="28"/>
          <w:highlight w:val="none"/>
          <w:lang w:eastAsia="zh-CN"/>
        </w:rPr>
        <w:t>磋商响应文件</w:t>
      </w:r>
      <w:r>
        <w:rPr>
          <w:rFonts w:hint="eastAsia" w:ascii="仿宋" w:hAnsi="仿宋" w:eastAsia="仿宋" w:cs="仿宋"/>
          <w:color w:val="auto"/>
          <w:kern w:val="0"/>
          <w:sz w:val="28"/>
          <w:szCs w:val="28"/>
          <w:highlight w:val="none"/>
        </w:rPr>
        <w:t>的要求，经双方友好协商平等、诚信、协作的原则，按照《中华人民共和国政府采购法》和《中华人民共和国民法典》经协商一致，订立本合同，供双方共同遵守：</w:t>
      </w:r>
    </w:p>
    <w:p w14:paraId="32F68270">
      <w:pPr>
        <w:keepNext w:val="0"/>
        <w:keepLines w:val="0"/>
        <w:pageBreakBefore w:val="0"/>
        <w:widowControl/>
        <w:kinsoku/>
        <w:wordWrap/>
        <w:overflowPunct/>
        <w:topLinePunct w:val="0"/>
        <w:autoSpaceDE/>
        <w:autoSpaceDN/>
        <w:bidi w:val="0"/>
        <w:snapToGrid w:val="0"/>
        <w:spacing w:line="348" w:lineRule="auto"/>
        <w:ind w:right="-197" w:rightChars="-94"/>
        <w:jc w:val="left"/>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b/>
          <w:bCs/>
          <w:color w:val="auto"/>
          <w:kern w:val="0"/>
          <w:sz w:val="28"/>
          <w:szCs w:val="28"/>
          <w:highlight w:val="none"/>
        </w:rPr>
        <w:t>第一条  合同约定的内容：</w:t>
      </w:r>
    </w:p>
    <w:p w14:paraId="19D5E917">
      <w:pPr>
        <w:pStyle w:val="10"/>
        <w:keepNext w:val="0"/>
        <w:keepLines w:val="0"/>
        <w:pageBreakBefore w:val="0"/>
        <w:kinsoku/>
        <w:wordWrap/>
        <w:overflowPunct/>
        <w:topLinePunct w:val="0"/>
        <w:autoSpaceDE/>
        <w:autoSpaceDN/>
        <w:bidi w:val="0"/>
        <w:snapToGrid w:val="0"/>
        <w:spacing w:line="348" w:lineRule="auto"/>
        <w:ind w:firstLine="0" w:firstLineChars="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第二条  合同金额</w:t>
      </w:r>
    </w:p>
    <w:p w14:paraId="06F90B5A">
      <w:pPr>
        <w:pStyle w:val="10"/>
        <w:keepNext w:val="0"/>
        <w:keepLines w:val="0"/>
        <w:pageBreakBefore w:val="0"/>
        <w:kinsoku/>
        <w:wordWrap/>
        <w:overflowPunct/>
        <w:topLinePunct w:val="0"/>
        <w:bidi w:val="0"/>
        <w:snapToGrid w:val="0"/>
        <w:spacing w:line="348" w:lineRule="auto"/>
        <w:ind w:firstLine="700" w:firstLineChars="250"/>
        <w:textAlignment w:val="auto"/>
        <w:rPr>
          <w:rFonts w:hint="eastAsia" w:ascii="仿宋" w:hAnsi="仿宋" w:eastAsia="仿宋" w:cs="仿宋"/>
          <w:color w:val="auto"/>
          <w:sz w:val="28"/>
          <w:szCs w:val="28"/>
          <w:highlight w:val="none"/>
        </w:rPr>
      </w:pPr>
      <w:r>
        <w:rPr>
          <w:rFonts w:hint="eastAsia" w:ascii="仿宋" w:hAnsi="仿宋" w:cs="仿宋"/>
          <w:color w:val="auto"/>
          <w:sz w:val="28"/>
          <w:szCs w:val="28"/>
          <w:highlight w:val="none"/>
          <w:lang w:val="en-US" w:eastAsia="zh-CN"/>
        </w:rPr>
        <w:t>2.1</w:t>
      </w:r>
      <w:r>
        <w:rPr>
          <w:rFonts w:hint="eastAsia" w:ascii="仿宋" w:hAnsi="仿宋" w:eastAsia="仿宋" w:cs="仿宋"/>
          <w:color w:val="auto"/>
          <w:sz w:val="28"/>
          <w:szCs w:val="28"/>
          <w:highlight w:val="none"/>
        </w:rPr>
        <w:t>合同金额</w:t>
      </w:r>
      <w:r>
        <w:rPr>
          <w:rFonts w:hint="eastAsia" w:ascii="仿宋" w:hAnsi="仿宋" w:cs="仿宋"/>
          <w:color w:val="auto"/>
          <w:sz w:val="28"/>
          <w:szCs w:val="28"/>
          <w:highlight w:val="none"/>
          <w:lang w:eastAsia="zh-CN"/>
        </w:rPr>
        <w:t>（</w:t>
      </w:r>
      <w:r>
        <w:rPr>
          <w:rFonts w:hint="eastAsia" w:ascii="仿宋" w:hAnsi="仿宋" w:cs="仿宋"/>
          <w:color w:val="auto"/>
          <w:sz w:val="28"/>
          <w:szCs w:val="28"/>
          <w:highlight w:val="none"/>
          <w:lang w:val="en-US" w:eastAsia="zh-CN"/>
        </w:rPr>
        <w:t>勘察测量费</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：人民币（大写）：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0861AF0B">
      <w:pPr>
        <w:pStyle w:val="10"/>
        <w:keepNext w:val="0"/>
        <w:keepLines w:val="0"/>
        <w:pageBreakBefore w:val="0"/>
        <w:kinsoku/>
        <w:wordWrap/>
        <w:overflowPunct/>
        <w:topLinePunct w:val="0"/>
        <w:bidi w:val="0"/>
        <w:snapToGrid w:val="0"/>
        <w:spacing w:line="348" w:lineRule="auto"/>
        <w:ind w:firstLine="700" w:firstLineChars="25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u w:val="single"/>
        </w:rPr>
        <w:t xml:space="preserve">        </w:t>
      </w:r>
      <w:r>
        <w:rPr>
          <w:rFonts w:hint="eastAsia" w:ascii="仿宋" w:hAnsi="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7FE24AC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eastAsia" w:ascii="仿宋" w:hAnsi="仿宋" w:eastAsia="仿宋" w:cs="仿宋"/>
          <w:snapToGrid w:val="0"/>
          <w:color w:val="auto"/>
          <w:sz w:val="28"/>
          <w:szCs w:val="28"/>
          <w:highlight w:val="none"/>
          <w:lang w:val="en-US" w:eastAsia="zh-CN" w:bidi="ar-SA"/>
        </w:rPr>
        <w:t>.2合同价款确定方式：全费用固定综合单价</w:t>
      </w:r>
    </w:p>
    <w:p w14:paraId="75B981AB">
      <w:pPr>
        <w:pStyle w:val="10"/>
        <w:keepNext w:val="0"/>
        <w:keepLines w:val="0"/>
        <w:pageBreakBefore w:val="0"/>
        <w:kinsoku/>
        <w:wordWrap/>
        <w:overflowPunct/>
        <w:topLinePunct w:val="0"/>
        <w:bidi w:val="0"/>
        <w:snapToGrid w:val="0"/>
        <w:spacing w:line="348" w:lineRule="auto"/>
        <w:ind w:firstLine="0" w:firstLineChars="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第三条  服务要求</w:t>
      </w:r>
    </w:p>
    <w:p w14:paraId="0D4296FC">
      <w:pPr>
        <w:pStyle w:val="10"/>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rPr>
      </w:pPr>
      <w:r>
        <w:rPr>
          <w:rFonts w:hint="eastAsia" w:ascii="仿宋" w:hAnsi="仿宋" w:cs="仿宋"/>
          <w:color w:val="auto"/>
          <w:sz w:val="28"/>
          <w:szCs w:val="28"/>
          <w:highlight w:val="none"/>
          <w:lang w:val="en-US" w:eastAsia="zh-CN"/>
        </w:rPr>
        <w:t>3.1</w:t>
      </w:r>
      <w:r>
        <w:rPr>
          <w:rFonts w:hint="eastAsia" w:ascii="仿宋" w:hAnsi="仿宋" w:eastAsia="仿宋" w:cs="仿宋"/>
          <w:color w:val="auto"/>
          <w:sz w:val="28"/>
          <w:szCs w:val="28"/>
          <w:highlight w:val="none"/>
        </w:rPr>
        <w:t>服务内容：西安高新区万达330千伏变电站配套电力沟道地质勘测项目</w:t>
      </w:r>
    </w:p>
    <w:p w14:paraId="3EB5D5BC">
      <w:pPr>
        <w:pStyle w:val="10"/>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lang w:eastAsia="zh-CN"/>
        </w:rPr>
      </w:pPr>
      <w:r>
        <w:rPr>
          <w:rFonts w:hint="eastAsia" w:ascii="仿宋" w:hAnsi="仿宋" w:cs="仿宋"/>
          <w:color w:val="auto"/>
          <w:sz w:val="28"/>
          <w:szCs w:val="28"/>
          <w:highlight w:val="none"/>
          <w:lang w:val="en-US" w:eastAsia="zh-CN"/>
        </w:rPr>
        <w:t>3.2</w:t>
      </w:r>
      <w:r>
        <w:rPr>
          <w:rFonts w:hint="eastAsia" w:ascii="仿宋" w:hAnsi="仿宋" w:eastAsia="仿宋" w:cs="仿宋"/>
          <w:color w:val="auto"/>
          <w:sz w:val="28"/>
          <w:szCs w:val="28"/>
          <w:highlight w:val="none"/>
        </w:rPr>
        <w:t>服务区域：</w:t>
      </w:r>
      <w:r>
        <w:rPr>
          <w:rFonts w:hint="eastAsia" w:ascii="仿宋" w:hAnsi="仿宋" w:eastAsia="仿宋" w:cs="仿宋"/>
          <w:snapToGrid w:val="0"/>
          <w:color w:val="auto"/>
          <w:sz w:val="28"/>
          <w:szCs w:val="28"/>
          <w:highlight w:val="none"/>
          <w:lang w:val="en-US" w:eastAsia="zh-CN" w:bidi="ar-SA"/>
        </w:rPr>
        <w:t>西起唐延南路西侧高速绿带内始发井(即万达变变电站外工作井)，沿绕城高速自东向西，直至现状河寨变</w:t>
      </w:r>
      <w:r>
        <w:rPr>
          <w:rFonts w:hint="eastAsia"/>
          <w:color w:val="auto"/>
          <w:lang w:eastAsia="zh-CN"/>
        </w:rPr>
        <w:t>，</w:t>
      </w:r>
      <w:r>
        <w:rPr>
          <w:rFonts w:hint="eastAsia"/>
          <w:color w:val="auto"/>
          <w:lang w:val="en-US" w:eastAsia="zh-CN"/>
        </w:rPr>
        <w:t>具体以甲方指定地点为准</w:t>
      </w:r>
      <w:r>
        <w:rPr>
          <w:rFonts w:hint="eastAsia" w:ascii="仿宋" w:hAnsi="仿宋" w:cs="仿宋"/>
          <w:color w:val="auto"/>
          <w:sz w:val="28"/>
          <w:szCs w:val="28"/>
          <w:highlight w:val="none"/>
          <w:u w:val="none"/>
          <w:lang w:eastAsia="zh-CN"/>
        </w:rPr>
        <w:t>。</w:t>
      </w:r>
    </w:p>
    <w:p w14:paraId="738E5C44">
      <w:pPr>
        <w:pStyle w:val="10"/>
        <w:keepNext w:val="0"/>
        <w:keepLines w:val="0"/>
        <w:pageBreakBefore w:val="0"/>
        <w:kinsoku/>
        <w:wordWrap/>
        <w:overflowPunct/>
        <w:topLinePunct w:val="0"/>
        <w:bidi w:val="0"/>
        <w:snapToGrid w:val="0"/>
        <w:spacing w:line="348" w:lineRule="auto"/>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3</w:t>
      </w:r>
      <w:r>
        <w:rPr>
          <w:rFonts w:hint="eastAsia" w:ascii="仿宋" w:hAnsi="仿宋" w:cs="仿宋"/>
          <w:color w:val="auto"/>
          <w:sz w:val="28"/>
          <w:szCs w:val="28"/>
          <w:highlight w:val="none"/>
          <w:lang w:eastAsia="zh-CN"/>
        </w:rPr>
        <w:t>.</w:t>
      </w: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rPr>
        <w:t>服务期限：</w:t>
      </w:r>
      <w:r>
        <w:rPr>
          <w:rFonts w:hint="eastAsia" w:ascii="仿宋" w:hAnsi="仿宋" w:cs="仿宋"/>
          <w:color w:val="auto"/>
          <w:sz w:val="28"/>
          <w:szCs w:val="28"/>
          <w:u w:val="single"/>
          <w:lang w:val="en-US" w:eastAsia="zh-CN"/>
        </w:rPr>
        <w:t xml:space="preserve">              </w:t>
      </w:r>
    </w:p>
    <w:p w14:paraId="07C7BB8F">
      <w:pPr>
        <w:spacing w:line="360" w:lineRule="auto"/>
        <w:ind w:firstLine="480"/>
        <w:rPr>
          <w:rFonts w:hint="default"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3.4预计勘察工作量：</w:t>
      </w:r>
    </w:p>
    <w:tbl>
      <w:tblPr>
        <w:tblStyle w:val="8"/>
        <w:tblW w:w="50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8"/>
        <w:gridCol w:w="1486"/>
        <w:gridCol w:w="2755"/>
        <w:gridCol w:w="1391"/>
        <w:gridCol w:w="1691"/>
        <w:gridCol w:w="1106"/>
      </w:tblGrid>
      <w:tr w14:paraId="7FA4D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2" w:hRule="atLeast"/>
          <w:jc w:val="center"/>
        </w:trPr>
        <w:tc>
          <w:tcPr>
            <w:tcW w:w="1188" w:type="dxa"/>
            <w:tcBorders>
              <w:top w:val="single" w:color="000000" w:sz="4" w:space="0"/>
              <w:left w:val="single" w:color="000000" w:sz="4" w:space="0"/>
              <w:bottom w:val="single" w:color="000000" w:sz="4" w:space="0"/>
              <w:right w:val="single" w:color="000000" w:sz="4" w:space="0"/>
            </w:tcBorders>
            <w:noWrap/>
            <w:vAlign w:val="center"/>
          </w:tcPr>
          <w:p w14:paraId="7C25D18C">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序号</w:t>
            </w:r>
          </w:p>
        </w:tc>
        <w:tc>
          <w:tcPr>
            <w:tcW w:w="1486" w:type="dxa"/>
            <w:tcBorders>
              <w:top w:val="single" w:color="000000" w:sz="4" w:space="0"/>
              <w:left w:val="single" w:color="000000" w:sz="4" w:space="0"/>
              <w:bottom w:val="single" w:color="000000" w:sz="4" w:space="0"/>
              <w:right w:val="single" w:color="000000" w:sz="4" w:space="0"/>
            </w:tcBorders>
            <w:noWrap/>
            <w:vAlign w:val="center"/>
          </w:tcPr>
          <w:p w14:paraId="6DA74C1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项目名称</w:t>
            </w:r>
          </w:p>
        </w:tc>
        <w:tc>
          <w:tcPr>
            <w:tcW w:w="5837" w:type="dxa"/>
            <w:gridSpan w:val="3"/>
            <w:tcBorders>
              <w:top w:val="single" w:color="000000" w:sz="4" w:space="0"/>
              <w:left w:val="single" w:color="000000" w:sz="4" w:space="0"/>
              <w:bottom w:val="single" w:color="000000" w:sz="4" w:space="0"/>
              <w:right w:val="single" w:color="000000" w:sz="4" w:space="0"/>
            </w:tcBorders>
            <w:noWrap/>
            <w:vAlign w:val="center"/>
          </w:tcPr>
          <w:p w14:paraId="75287A6D">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工程量</w:t>
            </w:r>
          </w:p>
        </w:tc>
        <w:tc>
          <w:tcPr>
            <w:tcW w:w="1106" w:type="dxa"/>
            <w:tcBorders>
              <w:top w:val="single" w:color="000000" w:sz="4" w:space="0"/>
              <w:left w:val="single" w:color="000000" w:sz="4" w:space="0"/>
              <w:bottom w:val="single" w:color="000000" w:sz="4" w:space="0"/>
              <w:right w:val="single" w:color="000000" w:sz="4" w:space="0"/>
            </w:tcBorders>
            <w:noWrap/>
            <w:vAlign w:val="center"/>
          </w:tcPr>
          <w:p w14:paraId="535C21C7">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备注</w:t>
            </w:r>
          </w:p>
        </w:tc>
      </w:tr>
      <w:tr w14:paraId="06174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188" w:type="dxa"/>
            <w:tcBorders>
              <w:top w:val="single" w:color="000000" w:sz="4" w:space="0"/>
              <w:left w:val="single" w:color="000000" w:sz="4" w:space="0"/>
              <w:bottom w:val="single" w:color="000000" w:sz="4" w:space="0"/>
              <w:right w:val="single" w:color="000000" w:sz="4" w:space="0"/>
            </w:tcBorders>
            <w:noWrap/>
            <w:vAlign w:val="center"/>
          </w:tcPr>
          <w:p w14:paraId="000B8042">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1</w:t>
            </w:r>
          </w:p>
        </w:tc>
        <w:tc>
          <w:tcPr>
            <w:tcW w:w="1486" w:type="dxa"/>
            <w:tcBorders>
              <w:top w:val="single" w:color="000000" w:sz="4" w:space="0"/>
              <w:left w:val="single" w:color="000000" w:sz="4" w:space="0"/>
              <w:bottom w:val="single" w:color="000000" w:sz="4" w:space="0"/>
              <w:right w:val="single" w:color="000000" w:sz="4" w:space="0"/>
            </w:tcBorders>
            <w:noWrap/>
            <w:vAlign w:val="center"/>
          </w:tcPr>
          <w:p w14:paraId="1B42BAC9">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勘察</w:t>
            </w:r>
          </w:p>
        </w:tc>
        <w:tc>
          <w:tcPr>
            <w:tcW w:w="5837" w:type="dxa"/>
            <w:gridSpan w:val="3"/>
            <w:tcBorders>
              <w:top w:val="single" w:color="000000" w:sz="4" w:space="0"/>
              <w:left w:val="single" w:color="000000" w:sz="4" w:space="0"/>
              <w:bottom w:val="single" w:color="000000" w:sz="4" w:space="0"/>
              <w:right w:val="single" w:color="000000" w:sz="4" w:space="0"/>
            </w:tcBorders>
            <w:noWrap w:val="0"/>
            <w:vAlign w:val="center"/>
          </w:tcPr>
          <w:p w14:paraId="33DBDDA6">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7675m</w:t>
            </w:r>
          </w:p>
        </w:tc>
        <w:tc>
          <w:tcPr>
            <w:tcW w:w="1106" w:type="dxa"/>
            <w:tcBorders>
              <w:top w:val="single" w:color="000000" w:sz="4" w:space="0"/>
              <w:left w:val="single" w:color="000000" w:sz="4" w:space="0"/>
              <w:bottom w:val="single" w:color="000000" w:sz="4" w:space="0"/>
              <w:right w:val="single" w:color="000000" w:sz="4" w:space="0"/>
            </w:tcBorders>
            <w:noWrap/>
            <w:vAlign w:val="center"/>
          </w:tcPr>
          <w:p w14:paraId="420C7D82">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r>
      <w:tr w14:paraId="3FD9D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188" w:type="dxa"/>
            <w:vMerge w:val="restart"/>
            <w:tcBorders>
              <w:top w:val="single" w:color="000000" w:sz="4" w:space="0"/>
              <w:left w:val="single" w:color="000000" w:sz="4" w:space="0"/>
              <w:bottom w:val="single" w:color="000000" w:sz="4" w:space="0"/>
              <w:right w:val="single" w:color="000000" w:sz="4" w:space="0"/>
            </w:tcBorders>
            <w:noWrap/>
            <w:vAlign w:val="center"/>
          </w:tcPr>
          <w:p w14:paraId="68191100">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2</w:t>
            </w:r>
          </w:p>
        </w:tc>
        <w:tc>
          <w:tcPr>
            <w:tcW w:w="1486" w:type="dxa"/>
            <w:vMerge w:val="restart"/>
            <w:tcBorders>
              <w:top w:val="single" w:color="000000" w:sz="4" w:space="0"/>
              <w:left w:val="single" w:color="000000" w:sz="4" w:space="0"/>
              <w:bottom w:val="single" w:color="000000" w:sz="4" w:space="0"/>
              <w:right w:val="single" w:color="000000" w:sz="4" w:space="0"/>
            </w:tcBorders>
            <w:noWrap/>
            <w:vAlign w:val="center"/>
          </w:tcPr>
          <w:p w14:paraId="16625043">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地形图测量</w:t>
            </w:r>
          </w:p>
        </w:tc>
        <w:tc>
          <w:tcPr>
            <w:tcW w:w="2755" w:type="dxa"/>
            <w:tcBorders>
              <w:top w:val="single" w:color="000000" w:sz="4" w:space="0"/>
              <w:left w:val="single" w:color="000000" w:sz="4" w:space="0"/>
              <w:bottom w:val="single" w:color="000000" w:sz="4" w:space="0"/>
              <w:right w:val="single" w:color="000000" w:sz="4" w:space="0"/>
            </w:tcBorders>
            <w:noWrap/>
            <w:vAlign w:val="center"/>
          </w:tcPr>
          <w:p w14:paraId="7CC7778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工作内容</w:t>
            </w:r>
          </w:p>
        </w:tc>
        <w:tc>
          <w:tcPr>
            <w:tcW w:w="1391" w:type="dxa"/>
            <w:tcBorders>
              <w:top w:val="single" w:color="000000" w:sz="4" w:space="0"/>
              <w:left w:val="single" w:color="000000" w:sz="4" w:space="0"/>
              <w:bottom w:val="single" w:color="000000" w:sz="4" w:space="0"/>
              <w:right w:val="single" w:color="000000" w:sz="4" w:space="0"/>
            </w:tcBorders>
            <w:noWrap/>
            <w:vAlign w:val="center"/>
          </w:tcPr>
          <w:p w14:paraId="49E7789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单位</w:t>
            </w:r>
          </w:p>
        </w:tc>
        <w:tc>
          <w:tcPr>
            <w:tcW w:w="1691" w:type="dxa"/>
            <w:tcBorders>
              <w:top w:val="single" w:color="000000" w:sz="4" w:space="0"/>
              <w:left w:val="single" w:color="000000" w:sz="4" w:space="0"/>
              <w:bottom w:val="single" w:color="000000" w:sz="4" w:space="0"/>
              <w:right w:val="single" w:color="000000" w:sz="4" w:space="0"/>
            </w:tcBorders>
            <w:noWrap/>
            <w:vAlign w:val="center"/>
          </w:tcPr>
          <w:p w14:paraId="51B21C9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工作量</w:t>
            </w:r>
          </w:p>
        </w:tc>
        <w:tc>
          <w:tcPr>
            <w:tcW w:w="1106" w:type="dxa"/>
            <w:tcBorders>
              <w:top w:val="single" w:color="000000" w:sz="4" w:space="0"/>
              <w:left w:val="single" w:color="000000" w:sz="4" w:space="0"/>
              <w:bottom w:val="single" w:color="000000" w:sz="4" w:space="0"/>
              <w:right w:val="single" w:color="000000" w:sz="4" w:space="0"/>
            </w:tcBorders>
            <w:noWrap/>
            <w:vAlign w:val="center"/>
          </w:tcPr>
          <w:p w14:paraId="1C64C5BE">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p>
        </w:tc>
      </w:tr>
      <w:tr w14:paraId="16382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noWrap/>
            <w:vAlign w:val="center"/>
          </w:tcPr>
          <w:p w14:paraId="036015FC">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1486" w:type="dxa"/>
            <w:vMerge w:val="continue"/>
            <w:tcBorders>
              <w:top w:val="single" w:color="000000" w:sz="4" w:space="0"/>
              <w:left w:val="single" w:color="000000" w:sz="4" w:space="0"/>
              <w:bottom w:val="single" w:color="000000" w:sz="4" w:space="0"/>
              <w:right w:val="single" w:color="000000" w:sz="4" w:space="0"/>
            </w:tcBorders>
            <w:noWrap/>
            <w:vAlign w:val="center"/>
          </w:tcPr>
          <w:p w14:paraId="758A4E27">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2755" w:type="dxa"/>
            <w:tcBorders>
              <w:top w:val="single" w:color="000000" w:sz="4" w:space="0"/>
              <w:left w:val="single" w:color="000000" w:sz="4" w:space="0"/>
              <w:bottom w:val="single" w:color="000000" w:sz="4" w:space="0"/>
              <w:right w:val="single" w:color="000000" w:sz="4" w:space="0"/>
            </w:tcBorders>
            <w:noWrap w:val="0"/>
            <w:vAlign w:val="center"/>
          </w:tcPr>
          <w:p w14:paraId="57B97BAE">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基准点测放</w:t>
            </w:r>
          </w:p>
        </w:tc>
        <w:tc>
          <w:tcPr>
            <w:tcW w:w="1391" w:type="dxa"/>
            <w:tcBorders>
              <w:top w:val="single" w:color="000000" w:sz="4" w:space="0"/>
              <w:left w:val="single" w:color="000000" w:sz="4" w:space="0"/>
              <w:bottom w:val="single" w:color="000000" w:sz="4" w:space="0"/>
              <w:right w:val="single" w:color="000000" w:sz="4" w:space="0"/>
            </w:tcBorders>
            <w:noWrap/>
            <w:vAlign w:val="center"/>
          </w:tcPr>
          <w:p w14:paraId="5CECB2AA">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个</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14:paraId="0976828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 xml:space="preserve">3 </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14:paraId="1235FC89">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r>
      <w:tr w14:paraId="7C894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noWrap/>
            <w:vAlign w:val="center"/>
          </w:tcPr>
          <w:p w14:paraId="461E342D">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1486" w:type="dxa"/>
            <w:vMerge w:val="continue"/>
            <w:tcBorders>
              <w:top w:val="single" w:color="000000" w:sz="4" w:space="0"/>
              <w:left w:val="single" w:color="000000" w:sz="4" w:space="0"/>
              <w:bottom w:val="single" w:color="000000" w:sz="4" w:space="0"/>
              <w:right w:val="single" w:color="000000" w:sz="4" w:space="0"/>
            </w:tcBorders>
            <w:noWrap/>
            <w:vAlign w:val="center"/>
          </w:tcPr>
          <w:p w14:paraId="2C144A07">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2755" w:type="dxa"/>
            <w:tcBorders>
              <w:top w:val="single" w:color="000000" w:sz="4" w:space="0"/>
              <w:left w:val="single" w:color="000000" w:sz="4" w:space="0"/>
              <w:bottom w:val="single" w:color="000000" w:sz="4" w:space="0"/>
              <w:right w:val="single" w:color="000000" w:sz="4" w:space="0"/>
            </w:tcBorders>
            <w:noWrap w:val="0"/>
            <w:vAlign w:val="center"/>
          </w:tcPr>
          <w:p w14:paraId="45C0687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平面控制点引测</w:t>
            </w:r>
          </w:p>
        </w:tc>
        <w:tc>
          <w:tcPr>
            <w:tcW w:w="1391" w:type="dxa"/>
            <w:tcBorders>
              <w:top w:val="single" w:color="000000" w:sz="4" w:space="0"/>
              <w:left w:val="single" w:color="000000" w:sz="4" w:space="0"/>
              <w:bottom w:val="single" w:color="000000" w:sz="4" w:space="0"/>
              <w:right w:val="single" w:color="000000" w:sz="4" w:space="0"/>
            </w:tcBorders>
            <w:noWrap/>
            <w:vAlign w:val="center"/>
          </w:tcPr>
          <w:p w14:paraId="04C1F60C">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个</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14:paraId="58F87BB0">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 xml:space="preserve">8 </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14:paraId="065A94A9">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r>
      <w:tr w14:paraId="6191C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noWrap/>
            <w:vAlign w:val="center"/>
          </w:tcPr>
          <w:p w14:paraId="23CC8D41">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1486" w:type="dxa"/>
            <w:vMerge w:val="continue"/>
            <w:tcBorders>
              <w:top w:val="single" w:color="000000" w:sz="4" w:space="0"/>
              <w:left w:val="single" w:color="000000" w:sz="4" w:space="0"/>
              <w:bottom w:val="single" w:color="000000" w:sz="4" w:space="0"/>
              <w:right w:val="single" w:color="000000" w:sz="4" w:space="0"/>
            </w:tcBorders>
            <w:noWrap/>
            <w:vAlign w:val="center"/>
          </w:tcPr>
          <w:p w14:paraId="6761EB4E">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2755" w:type="dxa"/>
            <w:tcBorders>
              <w:top w:val="single" w:color="000000" w:sz="4" w:space="0"/>
              <w:left w:val="single" w:color="000000" w:sz="4" w:space="0"/>
              <w:bottom w:val="single" w:color="000000" w:sz="4" w:space="0"/>
              <w:right w:val="single" w:color="000000" w:sz="4" w:space="0"/>
            </w:tcBorders>
            <w:noWrap w:val="0"/>
            <w:vAlign w:val="center"/>
          </w:tcPr>
          <w:p w14:paraId="2A640FF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高程控制点引测</w:t>
            </w:r>
          </w:p>
        </w:tc>
        <w:tc>
          <w:tcPr>
            <w:tcW w:w="1391" w:type="dxa"/>
            <w:tcBorders>
              <w:top w:val="single" w:color="000000" w:sz="4" w:space="0"/>
              <w:left w:val="single" w:color="000000" w:sz="4" w:space="0"/>
              <w:bottom w:val="single" w:color="000000" w:sz="4" w:space="0"/>
              <w:right w:val="single" w:color="000000" w:sz="4" w:space="0"/>
            </w:tcBorders>
            <w:noWrap/>
            <w:vAlign w:val="center"/>
          </w:tcPr>
          <w:p w14:paraId="4F9750C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个</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14:paraId="06FE93F3">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8</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14:paraId="26CEF962">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r>
      <w:tr w14:paraId="09B0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jc w:val="center"/>
        </w:trPr>
        <w:tc>
          <w:tcPr>
            <w:tcW w:w="1188" w:type="dxa"/>
            <w:vMerge w:val="continue"/>
            <w:tcBorders>
              <w:top w:val="single" w:color="000000" w:sz="4" w:space="0"/>
              <w:left w:val="single" w:color="000000" w:sz="4" w:space="0"/>
              <w:bottom w:val="single" w:color="000000" w:sz="4" w:space="0"/>
              <w:right w:val="single" w:color="000000" w:sz="4" w:space="0"/>
            </w:tcBorders>
            <w:noWrap/>
            <w:vAlign w:val="center"/>
          </w:tcPr>
          <w:p w14:paraId="1F19494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1486" w:type="dxa"/>
            <w:vMerge w:val="continue"/>
            <w:tcBorders>
              <w:top w:val="single" w:color="000000" w:sz="4" w:space="0"/>
              <w:left w:val="single" w:color="000000" w:sz="4" w:space="0"/>
              <w:bottom w:val="single" w:color="000000" w:sz="4" w:space="0"/>
              <w:right w:val="single" w:color="000000" w:sz="4" w:space="0"/>
            </w:tcBorders>
            <w:noWrap/>
            <w:vAlign w:val="center"/>
          </w:tcPr>
          <w:p w14:paraId="3B293BF4">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c>
          <w:tcPr>
            <w:tcW w:w="2755" w:type="dxa"/>
            <w:tcBorders>
              <w:top w:val="single" w:color="000000" w:sz="4" w:space="0"/>
              <w:left w:val="single" w:color="000000" w:sz="4" w:space="0"/>
              <w:bottom w:val="single" w:color="000000" w:sz="4" w:space="0"/>
              <w:right w:val="single" w:color="000000" w:sz="4" w:space="0"/>
            </w:tcBorders>
            <w:noWrap w:val="0"/>
            <w:vAlign w:val="center"/>
          </w:tcPr>
          <w:p w14:paraId="76D8959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1:500地形图测量</w:t>
            </w:r>
          </w:p>
        </w:tc>
        <w:tc>
          <w:tcPr>
            <w:tcW w:w="1391" w:type="dxa"/>
            <w:tcBorders>
              <w:top w:val="single" w:color="000000" w:sz="4" w:space="0"/>
              <w:left w:val="single" w:color="000000" w:sz="4" w:space="0"/>
              <w:bottom w:val="single" w:color="000000" w:sz="4" w:space="0"/>
              <w:right w:val="single" w:color="000000" w:sz="4" w:space="0"/>
            </w:tcBorders>
            <w:noWrap/>
            <w:vAlign w:val="center"/>
          </w:tcPr>
          <w:p w14:paraId="39E9AEA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14:paraId="195C9CA0">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snapToGrid w:val="0"/>
                <w:color w:val="auto"/>
                <w:sz w:val="28"/>
                <w:szCs w:val="28"/>
                <w:highlight w:val="none"/>
                <w:u w:val="none"/>
                <w:lang w:val="en-US" w:eastAsia="zh-CN" w:bidi="ar-SA"/>
              </w:rPr>
            </w:pPr>
            <w:r>
              <w:rPr>
                <w:rFonts w:hint="eastAsia" w:ascii="仿宋" w:hAnsi="仿宋" w:eastAsia="仿宋" w:cs="仿宋"/>
                <w:snapToGrid w:val="0"/>
                <w:color w:val="auto"/>
                <w:sz w:val="28"/>
                <w:szCs w:val="28"/>
                <w:highlight w:val="none"/>
                <w:u w:val="none"/>
                <w:lang w:val="en-US" w:eastAsia="zh-CN" w:bidi="ar-SA"/>
              </w:rPr>
              <w:t>1151871.57</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14:paraId="2B970226">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snapToGrid w:val="0"/>
                <w:color w:val="auto"/>
                <w:sz w:val="28"/>
                <w:szCs w:val="28"/>
                <w:highlight w:val="none"/>
                <w:u w:val="none"/>
                <w:lang w:val="en-US" w:eastAsia="zh-CN" w:bidi="ar-SA"/>
              </w:rPr>
            </w:pPr>
          </w:p>
        </w:tc>
      </w:tr>
    </w:tbl>
    <w:p w14:paraId="1064F2EF">
      <w:pPr>
        <w:keepNext w:val="0"/>
        <w:keepLines w:val="0"/>
        <w:pageBreakBefore w:val="0"/>
        <w:widowControl/>
        <w:kinsoku/>
        <w:wordWrap/>
        <w:overflowPunct/>
        <w:topLinePunct w:val="0"/>
        <w:bidi w:val="0"/>
        <w:snapToGrid w:val="0"/>
        <w:spacing w:line="348" w:lineRule="auto"/>
        <w:ind w:right="-197" w:rightChars="-94"/>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 xml:space="preserve">四条 </w:t>
      </w:r>
      <w:r>
        <w:rPr>
          <w:rFonts w:hint="eastAsia" w:ascii="仿宋" w:hAnsi="仿宋" w:eastAsia="仿宋" w:cs="仿宋"/>
          <w:b/>
          <w:bCs/>
          <w:color w:val="auto"/>
          <w:kern w:val="0"/>
          <w:sz w:val="28"/>
          <w:szCs w:val="28"/>
          <w:highlight w:val="none"/>
        </w:rPr>
        <w:t xml:space="preserve"> 付款方式及依据</w:t>
      </w:r>
    </w:p>
    <w:p w14:paraId="6B1E3F98">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付款方式：本项目无预付款，</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完成项目后，依据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确认的实际服务工作量考核结果提出付款申请，经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审核确认后支付费用。</w:t>
      </w:r>
    </w:p>
    <w:p w14:paraId="1E6A218C">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提交勘测报告并提出付款申请，同时提供相应的增值税专用发票后</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向其支付应付费用的90%。</w:t>
      </w:r>
    </w:p>
    <w:p w14:paraId="758B5C40">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待高新区管委会审定结算金额后，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提供剩余费用的增值税专用发票</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支付剩余费用</w:t>
      </w:r>
      <w:r>
        <w:rPr>
          <w:rFonts w:hint="eastAsia" w:ascii="仿宋" w:hAnsi="仿宋" w:eastAsia="仿宋" w:cs="仿宋"/>
          <w:color w:val="auto"/>
          <w:sz w:val="28"/>
          <w:szCs w:val="28"/>
          <w:highlight w:val="none"/>
          <w:lang w:eastAsia="zh-CN"/>
        </w:rPr>
        <w:t>。</w:t>
      </w:r>
    </w:p>
    <w:p w14:paraId="345504A3">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付款依据：发票、甲方出具的验收报告。</w:t>
      </w:r>
    </w:p>
    <w:p w14:paraId="3AC5B004">
      <w:pPr>
        <w:spacing w:line="360" w:lineRule="auto"/>
        <w:rPr>
          <w:rFonts w:hint="default" w:ascii="仿宋" w:hAnsi="仿宋" w:eastAsia="仿宋"/>
          <w:color w:val="auto"/>
          <w:sz w:val="24"/>
          <w:highlight w:val="none"/>
          <w:lang w:val="en-US" w:eastAsia="zh-CN"/>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五</w:t>
      </w:r>
      <w:r>
        <w:rPr>
          <w:rFonts w:hint="eastAsia" w:ascii="仿宋" w:hAnsi="仿宋" w:eastAsia="仿宋" w:cs="仿宋"/>
          <w:b/>
          <w:bCs/>
          <w:color w:val="auto"/>
          <w:kern w:val="0"/>
          <w:sz w:val="28"/>
          <w:szCs w:val="28"/>
          <w:highlight w:val="none"/>
        </w:rPr>
        <w:t>条  甲方、乙方</w:t>
      </w:r>
      <w:r>
        <w:rPr>
          <w:rFonts w:hint="eastAsia" w:ascii="仿宋" w:hAnsi="仿宋" w:eastAsia="仿宋" w:cs="仿宋"/>
          <w:b/>
          <w:bCs/>
          <w:color w:val="auto"/>
          <w:kern w:val="0"/>
          <w:sz w:val="28"/>
          <w:szCs w:val="28"/>
          <w:highlight w:val="none"/>
          <w:lang w:val="en-US" w:eastAsia="zh-CN"/>
        </w:rPr>
        <w:t>双方的权利义务</w:t>
      </w:r>
    </w:p>
    <w:p w14:paraId="76B456C0">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5.1甲方</w:t>
      </w:r>
      <w:r>
        <w:rPr>
          <w:rFonts w:hint="eastAsia" w:ascii="仿宋" w:hAnsi="仿宋" w:eastAsia="仿宋" w:cs="仿宋"/>
          <w:color w:val="auto"/>
          <w:sz w:val="28"/>
          <w:szCs w:val="28"/>
          <w:highlight w:val="none"/>
          <w:lang w:val="en-US" w:eastAsia="zh-CN"/>
        </w:rPr>
        <w:t>权利义务</w:t>
      </w:r>
    </w:p>
    <w:p w14:paraId="239A108E">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5.1.1甲方委托任务时，必须以书面形式向乙方明确勘察</w:t>
      </w:r>
      <w:r>
        <w:rPr>
          <w:rFonts w:hint="eastAsia" w:ascii="仿宋" w:hAnsi="仿宋" w:eastAsia="仿宋" w:cs="仿宋"/>
          <w:color w:val="auto"/>
          <w:sz w:val="28"/>
          <w:szCs w:val="28"/>
          <w:highlight w:val="none"/>
          <w:lang w:val="en-US" w:eastAsia="zh-CN"/>
        </w:rPr>
        <w:t>测量</w:t>
      </w:r>
      <w:r>
        <w:rPr>
          <w:rFonts w:hint="eastAsia" w:ascii="仿宋" w:hAnsi="仿宋" w:eastAsia="仿宋" w:cs="仿宋"/>
          <w:color w:val="auto"/>
          <w:sz w:val="28"/>
          <w:szCs w:val="28"/>
          <w:highlight w:val="none"/>
        </w:rPr>
        <w:t>任务及技术要求，并提供文件资料。</w:t>
      </w:r>
    </w:p>
    <w:p w14:paraId="2F248836">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应及时为乙方提供并解决勘察现场的工作条件和出现的问题（如：落实土地征用、青苗树木赔偿、拆除地上地下障碍物、处理施工扰民及影响施工正常进行的有关问题、平整施工现场、修好通行道路、接通电源水源、挖好排水沟渠以及水上作业用船等）。</w:t>
      </w:r>
    </w:p>
    <w:p w14:paraId="0E13932D">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若勘察现场需要看守，特别是在有毒、有害等危险现场作业时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乙方应在进场前告知甲方，根据甲方要求必要时报送勘察方案，经甲方同意后开展相关工作，甲方提供必要支持，费用由乙方自行承担。</w:t>
      </w:r>
    </w:p>
    <w:p w14:paraId="7AC89BD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工程勘察前，若甲方负责提供材料的，应根据乙方提出的工程用料计划，按时提供各种材料及其产品合格证明，并承担费用和运到现场，派人与乙方的人员一起验收。</w:t>
      </w:r>
    </w:p>
    <w:p w14:paraId="4CACF2D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勘察过程中的任何变更，经办理正式变更手续后</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因增加工作量导致费用增加由甲乙双方另行协商解决，但因乙方勘察工作开展不符合相关法规、政策要求的除外</w:t>
      </w:r>
      <w:r>
        <w:rPr>
          <w:rFonts w:hint="eastAsia" w:ascii="仿宋" w:hAnsi="仿宋" w:eastAsia="仿宋" w:cs="仿宋"/>
          <w:color w:val="auto"/>
          <w:sz w:val="28"/>
          <w:szCs w:val="28"/>
          <w:highlight w:val="none"/>
          <w:lang w:eastAsia="zh-CN"/>
        </w:rPr>
        <w:t>。</w:t>
      </w:r>
    </w:p>
    <w:p w14:paraId="0320D84A">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甲方应保护乙方的</w:t>
      </w:r>
      <w:r>
        <w:rPr>
          <w:rFonts w:hint="eastAsia" w:ascii="仿宋" w:hAnsi="仿宋" w:eastAsia="仿宋" w:cs="仿宋"/>
          <w:color w:val="auto"/>
          <w:sz w:val="28"/>
          <w:szCs w:val="28"/>
          <w:highlight w:val="none"/>
          <w:lang w:val="en-US" w:eastAsia="zh-CN"/>
        </w:rPr>
        <w:t>响应文件、</w:t>
      </w:r>
      <w:r>
        <w:rPr>
          <w:rFonts w:hint="eastAsia" w:ascii="仿宋" w:hAnsi="仿宋" w:eastAsia="仿宋" w:cs="仿宋"/>
          <w:color w:val="auto"/>
          <w:sz w:val="28"/>
          <w:szCs w:val="28"/>
          <w:highlight w:val="none"/>
        </w:rPr>
        <w:t>勘察方案、报告书、文件、资料图纸、数据、特殊工艺（方法）、专利技术和合理化建议，未经乙方同意，甲方不得复制、不得泄露、不得擅自修改、传送或向第三人转让或用于本合同外的项目；如发生上述情况，甲方应负法律责任，乙方有权索赔。</w:t>
      </w:r>
    </w:p>
    <w:p w14:paraId="146FF661">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本合同有关条款规定和补充协议中甲方应负的其它责任。</w:t>
      </w:r>
    </w:p>
    <w:p w14:paraId="302F2F03">
      <w:pPr>
        <w:keepNext w:val="0"/>
        <w:keepLines w:val="0"/>
        <w:pageBreakBefore w:val="0"/>
        <w:widowControl/>
        <w:kinsoku/>
        <w:wordWrap/>
        <w:overflowPunct/>
        <w:topLinePunct w:val="0"/>
        <w:autoSpaceDE w:val="0"/>
        <w:autoSpaceDN w:val="0"/>
        <w:bidi w:val="0"/>
        <w:adjustRightInd w:val="0"/>
        <w:snapToGrid w:val="0"/>
        <w:spacing w:line="348" w:lineRule="auto"/>
        <w:ind w:firstLine="562" w:firstLineChars="200"/>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5.2</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乙方</w:t>
      </w:r>
      <w:r>
        <w:rPr>
          <w:rFonts w:hint="eastAsia" w:ascii="仿宋" w:hAnsi="仿宋" w:eastAsia="仿宋" w:cs="仿宋"/>
          <w:b/>
          <w:bCs/>
          <w:color w:val="auto"/>
          <w:sz w:val="28"/>
          <w:szCs w:val="28"/>
          <w:highlight w:val="none"/>
          <w:lang w:val="en-US" w:eastAsia="zh-CN"/>
        </w:rPr>
        <w:t>权利义务</w:t>
      </w:r>
    </w:p>
    <w:p w14:paraId="7488B95F">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5.2.1乙方应按国家技术规范、标准、规程和甲方的任务委托书及技术要求进行勘察</w:t>
      </w:r>
      <w:r>
        <w:rPr>
          <w:rFonts w:hint="eastAsia" w:ascii="仿宋" w:hAnsi="仿宋" w:eastAsia="仿宋" w:cs="仿宋"/>
          <w:color w:val="auto"/>
          <w:sz w:val="28"/>
          <w:szCs w:val="28"/>
          <w:highlight w:val="none"/>
          <w:lang w:val="en-US" w:eastAsia="zh-CN"/>
        </w:rPr>
        <w:t>测量</w:t>
      </w:r>
      <w:r>
        <w:rPr>
          <w:rFonts w:hint="eastAsia" w:ascii="仿宋" w:hAnsi="仿宋" w:eastAsia="仿宋" w:cs="仿宋"/>
          <w:color w:val="auto"/>
          <w:sz w:val="28"/>
          <w:szCs w:val="28"/>
          <w:highlight w:val="none"/>
        </w:rPr>
        <w:t>，按本合同规定的时间提交质量合格的勘察</w:t>
      </w:r>
      <w:r>
        <w:rPr>
          <w:rFonts w:hint="eastAsia" w:ascii="仿宋" w:hAnsi="仿宋" w:eastAsia="仿宋" w:cs="仿宋"/>
          <w:color w:val="auto"/>
          <w:sz w:val="28"/>
          <w:szCs w:val="28"/>
          <w:highlight w:val="none"/>
          <w:lang w:val="en-US" w:eastAsia="zh-CN"/>
        </w:rPr>
        <w:t>测量</w:t>
      </w:r>
      <w:r>
        <w:rPr>
          <w:rFonts w:hint="eastAsia" w:ascii="仿宋" w:hAnsi="仿宋" w:eastAsia="仿宋" w:cs="仿宋"/>
          <w:color w:val="auto"/>
          <w:sz w:val="28"/>
          <w:szCs w:val="28"/>
          <w:highlight w:val="none"/>
        </w:rPr>
        <w:t>成果资料，并对其负责。</w:t>
      </w:r>
    </w:p>
    <w:p w14:paraId="521F4F5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5.2.2由于乙方提供的勘察成果资料质量不合格，乙方应负责无偿给予补充完善使其达到质量合格；若乙方无力补充完善，需另委托其他单位时，乙方应承担全部勘察费用；或因勘察质量造成重大经济损失或工程事故时，乙方应免收直接受损失部分的勘察费。</w:t>
      </w:r>
    </w:p>
    <w:p w14:paraId="7799975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5.2.3在工程勘察前，提出勘察纲要或勘察组织设计，派人与甲方的人员一起验收。</w:t>
      </w:r>
    </w:p>
    <w:p w14:paraId="0239D0A2">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5.2.4勘察过程中，根据工程的岩土工程条件（或工作现场地形地貌、地质和水文地质条件）及技术规范要求，向甲方提出增减工作量或修改勘察工作的意见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并办理正式变更手续</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确保勘察工作顺利实施，乙方在整个勘察工作中应有随时提供合理化建议的权利</w:t>
      </w:r>
      <w:r>
        <w:rPr>
          <w:rFonts w:hint="eastAsia" w:ascii="仿宋" w:hAnsi="仿宋" w:eastAsia="仿宋" w:cs="仿宋"/>
          <w:color w:val="auto"/>
          <w:sz w:val="28"/>
          <w:szCs w:val="28"/>
          <w:highlight w:val="none"/>
        </w:rPr>
        <w:t>。</w:t>
      </w:r>
    </w:p>
    <w:p w14:paraId="17B5EDD0">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5.2.5在现场工作的乙方的人员，应遵守甲方的安全保卫及其它有关的规章制度，承担其有关资料保密义务。</w:t>
      </w:r>
    </w:p>
    <w:p w14:paraId="2901B8AE">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5.2.6本合同有关条款规定和补充协议中乙方应负的其它责任。</w:t>
      </w:r>
    </w:p>
    <w:p w14:paraId="3CC94D43">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5.2.7在勘察工作范围内，没有资料、图纸的地区（段），若无合同约定资料、图纸，或资料图纸不可靠、地下埋藏物不清，导致乙方在勘察工作过程中发生人身伤害或造成经济损失时，相关责任由乙方自行承担。</w:t>
      </w:r>
    </w:p>
    <w:p w14:paraId="612A4DCA">
      <w:pPr>
        <w:keepNext w:val="0"/>
        <w:keepLines w:val="0"/>
        <w:pageBreakBefore w:val="0"/>
        <w:widowControl w:val="0"/>
        <w:kinsoku/>
        <w:overflowPunct/>
        <w:topLinePunct w:val="0"/>
        <w:autoSpaceDE/>
        <w:autoSpaceDN/>
        <w:bidi w:val="0"/>
        <w:adjustRightInd/>
        <w:snapToGrid w:val="0"/>
        <w:spacing w:line="360" w:lineRule="auto"/>
        <w:jc w:val="both"/>
        <w:textAlignment w:val="auto"/>
        <w:rPr>
          <w:rFonts w:hint="eastAsia" w:ascii="仿宋" w:hAnsi="仿宋" w:eastAsia="仿宋" w:cs="仿宋"/>
          <w:b/>
          <w:color w:val="auto"/>
          <w:sz w:val="24"/>
          <w:szCs w:val="24"/>
          <w:lang w:eastAsia="zh-CN"/>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六</w:t>
      </w:r>
      <w:r>
        <w:rPr>
          <w:rFonts w:hint="eastAsia" w:ascii="仿宋" w:hAnsi="仿宋" w:eastAsia="仿宋" w:cs="仿宋"/>
          <w:b/>
          <w:bCs/>
          <w:color w:val="auto"/>
          <w:sz w:val="28"/>
          <w:szCs w:val="28"/>
          <w:highlight w:val="none"/>
        </w:rPr>
        <w:t xml:space="preserve">条 </w:t>
      </w:r>
      <w:r>
        <w:rPr>
          <w:rFonts w:hint="eastAsia" w:ascii="仿宋" w:hAnsi="仿宋" w:eastAsia="仿宋" w:cs="仿宋"/>
          <w:b/>
          <w:bCs/>
          <w:color w:val="auto"/>
          <w:sz w:val="28"/>
          <w:szCs w:val="28"/>
          <w:highlight w:val="none"/>
          <w:lang w:eastAsia="zh-CN"/>
        </w:rPr>
        <w:t>本项目拟派主要人员</w:t>
      </w:r>
    </w:p>
    <w:p w14:paraId="1D6C7819">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拟派</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为项目</w:t>
      </w:r>
      <w:r>
        <w:rPr>
          <w:rFonts w:hint="eastAsia" w:ascii="仿宋" w:hAnsi="仿宋" w:eastAsia="仿宋" w:cs="仿宋"/>
          <w:color w:val="auto"/>
          <w:sz w:val="28"/>
          <w:szCs w:val="28"/>
          <w:highlight w:val="none"/>
          <w:lang w:val="en-US" w:eastAsia="zh-CN"/>
        </w:rPr>
        <w:t>负责人</w:t>
      </w:r>
      <w:r>
        <w:rPr>
          <w:rFonts w:hint="eastAsia" w:ascii="仿宋" w:hAnsi="仿宋" w:eastAsia="仿宋" w:cs="仿宋"/>
          <w:color w:val="auto"/>
          <w:sz w:val="28"/>
          <w:szCs w:val="28"/>
          <w:highlight w:val="none"/>
        </w:rPr>
        <w:t>，联系电话：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F1FB1EA">
      <w:pPr>
        <w:keepNext w:val="0"/>
        <w:keepLines w:val="0"/>
        <w:pageBreakBefore w:val="0"/>
        <w:kinsoku/>
        <w:wordWrap/>
        <w:overflowPunct/>
        <w:topLinePunct w:val="0"/>
        <w:bidi w:val="0"/>
        <w:snapToGrid w:val="0"/>
        <w:spacing w:line="348" w:lineRule="auto"/>
        <w:textAlignment w:val="auto"/>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第七条 成果资料份数要求：</w:t>
      </w:r>
    </w:p>
    <w:p w14:paraId="4B865D0A">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乙方向甲方提交勘察</w:t>
      </w:r>
      <w:r>
        <w:rPr>
          <w:rFonts w:hint="eastAsia" w:ascii="仿宋" w:hAnsi="仿宋" w:eastAsia="仿宋" w:cs="仿宋"/>
          <w:color w:val="auto"/>
          <w:sz w:val="28"/>
          <w:szCs w:val="28"/>
          <w:highlight w:val="none"/>
          <w:lang w:val="en-US" w:eastAsia="zh-CN"/>
        </w:rPr>
        <w:t>测量</w:t>
      </w:r>
      <w:r>
        <w:rPr>
          <w:rFonts w:hint="eastAsia" w:ascii="仿宋" w:hAnsi="仿宋" w:eastAsia="仿宋" w:cs="仿宋"/>
          <w:color w:val="auto"/>
          <w:sz w:val="28"/>
          <w:szCs w:val="28"/>
          <w:highlight w:val="none"/>
        </w:rPr>
        <w:t>成果资料并对其质量负责。</w:t>
      </w:r>
    </w:p>
    <w:p w14:paraId="11A0753A">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乙方负责向甲方提交勘察</w:t>
      </w:r>
      <w:r>
        <w:rPr>
          <w:rFonts w:hint="eastAsia" w:ascii="仿宋" w:hAnsi="仿宋" w:eastAsia="仿宋" w:cs="仿宋"/>
          <w:color w:val="auto"/>
          <w:sz w:val="28"/>
          <w:szCs w:val="28"/>
          <w:highlight w:val="none"/>
          <w:lang w:val="en-US" w:eastAsia="zh-CN"/>
        </w:rPr>
        <w:t>测量</w:t>
      </w:r>
      <w:r>
        <w:rPr>
          <w:rFonts w:hint="eastAsia" w:ascii="仿宋" w:hAnsi="仿宋" w:eastAsia="仿宋" w:cs="仿宋"/>
          <w:color w:val="auto"/>
          <w:sz w:val="28"/>
          <w:szCs w:val="28"/>
          <w:highlight w:val="none"/>
        </w:rPr>
        <w:t>成果资料</w:t>
      </w:r>
      <w:r>
        <w:rPr>
          <w:rFonts w:hint="eastAsia" w:ascii="仿宋" w:hAnsi="仿宋" w:eastAsia="仿宋" w:cs="仿宋"/>
          <w:color w:val="auto"/>
          <w:sz w:val="28"/>
          <w:szCs w:val="28"/>
          <w:highlight w:val="none"/>
          <w:u w:val="single"/>
          <w:lang w:val="en-US" w:eastAsia="zh-CN"/>
        </w:rPr>
        <w:t xml:space="preserve">        。</w:t>
      </w:r>
    </w:p>
    <w:p w14:paraId="09449B0E">
      <w:pPr>
        <w:keepNext w:val="0"/>
        <w:keepLines w:val="0"/>
        <w:pageBreakBefore w:val="0"/>
        <w:widowControl/>
        <w:suppressLineNumbers w:val="0"/>
        <w:kinsoku/>
        <w:wordWrap/>
        <w:overflowPunct/>
        <w:topLinePunct w:val="0"/>
        <w:autoSpaceDE/>
        <w:autoSpaceDN/>
        <w:bidi w:val="0"/>
        <w:adjustRightInd/>
        <w:snapToGrid w:val="0"/>
        <w:spacing w:line="360" w:lineRule="auto"/>
        <w:jc w:val="left"/>
        <w:outlineLvl w:val="0"/>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SA"/>
        </w:rPr>
        <w:t xml:space="preserve">第八条 </w:t>
      </w:r>
      <w:r>
        <w:rPr>
          <w:rFonts w:hint="eastAsia" w:ascii="仿宋" w:hAnsi="仿宋" w:eastAsia="仿宋" w:cs="仿宋"/>
          <w:b/>
          <w:bCs/>
          <w:snapToGrid w:val="0"/>
          <w:color w:val="auto"/>
          <w:sz w:val="28"/>
          <w:szCs w:val="28"/>
          <w:highlight w:val="none"/>
          <w:lang w:val="en-US" w:eastAsia="zh-CN" w:bidi="ar-SA"/>
        </w:rPr>
        <w:t xml:space="preserve">勘测技术要求 </w:t>
      </w:r>
    </w:p>
    <w:p w14:paraId="574A9178">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8.1勘察主要依据：</w:t>
      </w:r>
    </w:p>
    <w:p w14:paraId="01EA3E36">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1）《岩土工程勘察规范》GB 50021-2001（2009年版）；</w:t>
      </w:r>
    </w:p>
    <w:p w14:paraId="1EBEA760">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2）《工程勘察通用规范》GB 55017-2021；</w:t>
      </w:r>
    </w:p>
    <w:p w14:paraId="5E5D0A28">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3）《市政工程勘察规范》CJJ 56-2012；</w:t>
      </w:r>
    </w:p>
    <w:p w14:paraId="40A9D3B7">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4）《城乡规划工程地质勘察规范》CJJ 57-2012；</w:t>
      </w:r>
    </w:p>
    <w:p w14:paraId="162C67D9">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5）《岩土工程勘察安全标准》GB 50585-2019；</w:t>
      </w:r>
    </w:p>
    <w:p w14:paraId="1378CC18">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6）《湿陷性黄土地区建筑标准》GB50025-2018；</w:t>
      </w:r>
    </w:p>
    <w:p w14:paraId="0173CEC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7）《建筑与市政工程抗震设计通用规范》GB55002-2021； </w:t>
      </w:r>
    </w:p>
    <w:p w14:paraId="503F32C7">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8）《建筑与市政工程地基基础通用规范》GB55003-2021；</w:t>
      </w:r>
    </w:p>
    <w:p w14:paraId="482789F0">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9）《工程测量通用规范》GB 55018-2021；</w:t>
      </w:r>
    </w:p>
    <w:p w14:paraId="71183EA0">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10）《建筑变形测量规范》JGJ 8-2016；</w:t>
      </w:r>
    </w:p>
    <w:p w14:paraId="053A0FFA">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11）《建筑基坑工程监测技术标准》GB 50497-2019；</w:t>
      </w:r>
    </w:p>
    <w:p w14:paraId="58D469BF">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12）《建筑地基处理技术规范》JGJ 79-2012；</w:t>
      </w:r>
    </w:p>
    <w:p w14:paraId="69ACBB4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13）《建筑地基基础设计规范》GB 50007-2011；</w:t>
      </w:r>
    </w:p>
    <w:p w14:paraId="5037194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14）《建筑基坑支护技术规程》JGJ120-2012；</w:t>
      </w:r>
    </w:p>
    <w:p w14:paraId="4E4C1DAE">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15）《湿陷性黄土地区建筑基坑工程安全技术规程》JGJ167-2009；</w:t>
      </w:r>
    </w:p>
    <w:p w14:paraId="0DA0B6C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16）《建筑抗震设计规范》GB50011-2010（2016年版）及局部修订条文（2024年版）；</w:t>
      </w:r>
    </w:p>
    <w:p w14:paraId="2B5202A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17）《中国地震动参数区划图》GB18306-2015；</w:t>
      </w:r>
    </w:p>
    <w:p w14:paraId="4DDDF1B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18）《建筑工程抗震设防分类标准》GB50223-2008；</w:t>
      </w:r>
    </w:p>
    <w:p w14:paraId="344A32B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19）《建筑工程地质勘探与取样技术规程》JGT/T87-2012；</w:t>
      </w:r>
    </w:p>
    <w:p w14:paraId="6F64FEE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20）《土工试验方法标准》GB/T50123-2019；</w:t>
      </w:r>
    </w:p>
    <w:p w14:paraId="3598324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21）《西安地裂缝场地勘察与工程设计规程》DBJ61/T 182-2021；</w:t>
      </w:r>
    </w:p>
    <w:p w14:paraId="05A175A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22）《城市工程管线综合规划规范》GB50289-2016；</w:t>
      </w:r>
    </w:p>
    <w:p w14:paraId="3353EAD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23）《岩土工程勘察图式图例规程》YS/T 5204-2018；</w:t>
      </w:r>
    </w:p>
    <w:p w14:paraId="3AE115CF">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24）《房屋建筑和市政基础设施工程勘察文件编制深度规定》（2020年版）；</w:t>
      </w:r>
    </w:p>
    <w:p w14:paraId="65837EF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25）《危险性较大分部分项工程安全管理规定》中华人民共和国住房和城乡建设部令第37号及建办质〔2018〕31号；</w:t>
      </w:r>
    </w:p>
    <w:p w14:paraId="2C8EB406">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8.2测量主要依据：</w:t>
      </w:r>
    </w:p>
    <w:p w14:paraId="3076C4B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1）《全球定位系统(GPS)测量规范》(GB/T 18314-2009)；</w:t>
      </w:r>
    </w:p>
    <w:p w14:paraId="7200A4D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2）《大地测量基准》(GB 22021-2008)；</w:t>
      </w:r>
    </w:p>
    <w:p w14:paraId="643AD13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3）《国家基本比例尺地图图式》(GB/T 20257.1-2017)；</w:t>
      </w:r>
    </w:p>
    <w:p w14:paraId="2F5D22D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4）《工程测量标准》（GB 50026-2020）；</w:t>
      </w:r>
    </w:p>
    <w:p w14:paraId="6405466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5）《数字测绘成果质量检查与验收》(GB/T 18316-2021)；</w:t>
      </w:r>
    </w:p>
    <w:p w14:paraId="275FE639">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6）《城市测量规范》(CJJ/T 8-2011)</w:t>
      </w:r>
    </w:p>
    <w:p w14:paraId="4230928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7）《卫星定位城市测量技术规范》(CJJ/T 73-2019)</w:t>
      </w:r>
    </w:p>
    <w:p w14:paraId="7B060A6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8）《无人机航测技术规程》(CH/Z 3001-3005系列)</w:t>
      </w:r>
    </w:p>
    <w:p w14:paraId="7A6C55BA">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9）《基础地理信息要素分类与代码》(GB/T 13923-2022)</w:t>
      </w:r>
    </w:p>
    <w:p w14:paraId="11A529E0">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10）《测绘成果质量检查与验收》(GB/T 24356-2021)</w:t>
      </w:r>
    </w:p>
    <w:p w14:paraId="02FBD12B">
      <w:pPr>
        <w:keepNext w:val="0"/>
        <w:keepLines w:val="0"/>
        <w:pageBreakBefore w:val="0"/>
        <w:widowControl w:val="0"/>
        <w:kinsoku/>
        <w:wordWrap/>
        <w:overflowPunct/>
        <w:topLinePunct w:val="0"/>
        <w:bidi w:val="0"/>
        <w:snapToGrid w:val="0"/>
        <w:spacing w:line="348" w:lineRule="auto"/>
        <w:jc w:val="left"/>
        <w:textAlignment w:val="auto"/>
        <w:outlineLvl w:val="9"/>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SA"/>
        </w:rPr>
        <w:t>第九条</w:t>
      </w:r>
      <w:r>
        <w:rPr>
          <w:rFonts w:hint="eastAsia" w:ascii="仿宋" w:hAnsi="仿宋" w:eastAsia="仿宋" w:cs="仿宋"/>
          <w:color w:val="auto"/>
          <w:sz w:val="28"/>
          <w:szCs w:val="28"/>
          <w:lang w:val="en-US" w:eastAsia="zh-CN"/>
        </w:rPr>
        <w:t xml:space="preserve"> </w:t>
      </w:r>
      <w:r>
        <w:rPr>
          <w:rFonts w:hint="eastAsia" w:ascii="仿宋" w:hAnsi="仿宋" w:eastAsia="仿宋" w:cs="仿宋"/>
          <w:b/>
          <w:bCs/>
          <w:snapToGrid w:val="0"/>
          <w:color w:val="auto"/>
          <w:sz w:val="28"/>
          <w:szCs w:val="28"/>
          <w:highlight w:val="none"/>
          <w:lang w:val="en-US" w:eastAsia="zh-CN" w:bidi="ar-SA"/>
        </w:rPr>
        <w:t>需提交的技术资料</w:t>
      </w:r>
    </w:p>
    <w:p w14:paraId="090BE8C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本工程应根据甲方要求，提供岩土工程勘察报告、测量技术报告。</w:t>
      </w:r>
    </w:p>
    <w:p w14:paraId="4EA9A668">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9.1岩土工程勘察报告</w:t>
      </w:r>
    </w:p>
    <w:p w14:paraId="4C3DCCE6">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1）应根据任务要求、勘察阶段、工程特点和地质条件等具体情况编写，并应包括下列内容:</w:t>
      </w:r>
    </w:p>
    <w:p w14:paraId="3C4415CA">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2）勘察目的、任务要求和依据的技术标准；</w:t>
      </w:r>
    </w:p>
    <w:p w14:paraId="3B323E6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3）拟建工程概况；</w:t>
      </w:r>
    </w:p>
    <w:p w14:paraId="24C5143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4）勘察方法和勘察工作布置；</w:t>
      </w:r>
    </w:p>
    <w:p w14:paraId="0EDB8AF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5）场地地形、地貌、地层、地质构造、岩土性质及其均匀性；</w:t>
      </w:r>
    </w:p>
    <w:p w14:paraId="6239B99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6）各项岩土性质指标，岩土的强度参数、变形参数、地基承载力的建议值；</w:t>
      </w:r>
    </w:p>
    <w:p w14:paraId="1E0957C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7）地下水埋藏情况、类型、水位及其变化；</w:t>
      </w:r>
    </w:p>
    <w:p w14:paraId="597F00C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8）土和水对建筑材料的腐蚀性；</w:t>
      </w:r>
    </w:p>
    <w:p w14:paraId="0B9D41D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9）可能影响工程稳定的不良地质作用的描述和对工程危害程度的评价；</w:t>
      </w:r>
    </w:p>
    <w:p w14:paraId="43AED67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10）场地稳定性和适宜性的评价；</w:t>
      </w:r>
    </w:p>
    <w:p w14:paraId="4168899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11）勘探点平面布置图；</w:t>
      </w:r>
    </w:p>
    <w:p w14:paraId="6834C298">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12）工程地质柱状图；</w:t>
      </w:r>
    </w:p>
    <w:p w14:paraId="080DEED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13）工程地质剖面图；</w:t>
      </w:r>
    </w:p>
    <w:p w14:paraId="2100DA8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14）原位测试成果图表；</w:t>
      </w:r>
    </w:p>
    <w:p w14:paraId="4016213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15）室内试验成果图表；</w:t>
      </w:r>
    </w:p>
    <w:p w14:paraId="556CAC5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9.2测量技术报告</w:t>
      </w:r>
    </w:p>
    <w:p w14:paraId="5C92934F">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1）应根据任务要求等具体情况编写，并应包括下列内容:</w:t>
      </w:r>
    </w:p>
    <w:p w14:paraId="53675D1E">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2）测量项目的名称；</w:t>
      </w:r>
    </w:p>
    <w:p w14:paraId="733BF07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3）专业测量任务的来源；</w:t>
      </w:r>
    </w:p>
    <w:p w14:paraId="536AD7B0">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4）作业区概况；</w:t>
      </w:r>
    </w:p>
    <w:p w14:paraId="2663FBC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5）已有资料的利用情况；</w:t>
      </w:r>
    </w:p>
    <w:p w14:paraId="3A1758F7">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6）专业测量任务的内容；</w:t>
      </w:r>
    </w:p>
    <w:p w14:paraId="2B2B69A9">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7）任务量和目标；</w:t>
      </w:r>
    </w:p>
    <w:p w14:paraId="57317CFA">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8）成果交付与接收情况；</w:t>
      </w:r>
    </w:p>
    <w:p w14:paraId="30101517">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9）1:500地形测量成果图。</w:t>
      </w:r>
    </w:p>
    <w:p w14:paraId="1C675C49">
      <w:pPr>
        <w:keepNext w:val="0"/>
        <w:keepLines w:val="0"/>
        <w:pageBreakBefore w:val="0"/>
        <w:widowControl w:val="0"/>
        <w:numPr>
          <w:ilvl w:val="0"/>
          <w:numId w:val="0"/>
        </w:numPr>
        <w:kinsoku/>
        <w:wordWrap/>
        <w:overflowPunct/>
        <w:topLinePunct w:val="0"/>
        <w:bidi w:val="0"/>
        <w:adjustRightInd w:val="0"/>
        <w:snapToGrid w:val="0"/>
        <w:spacing w:line="348" w:lineRule="auto"/>
        <w:textAlignment w:val="auto"/>
        <w:outlineLvl w:val="9"/>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第十条</w:t>
      </w:r>
      <w:r>
        <w:rPr>
          <w:rFonts w:hint="eastAsia" w:ascii="仿宋" w:hAnsi="仿宋" w:eastAsia="仿宋" w:cs="仿宋"/>
          <w:b/>
          <w:bCs/>
          <w:color w:val="auto"/>
          <w:kern w:val="0"/>
          <w:sz w:val="28"/>
          <w:szCs w:val="28"/>
          <w:highlight w:val="none"/>
        </w:rPr>
        <w:t xml:space="preserve"> 施工现场配合服务</w:t>
      </w:r>
    </w:p>
    <w:p w14:paraId="481BD04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10.1 甲方为乙方派赴现场的工作人员提供便利条件的内容包括</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 xml:space="preserve"> 。</w:t>
      </w:r>
    </w:p>
    <w:p w14:paraId="2CEE69F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2 乙方应当在设计单位交付施工图设计文件并经审查合格后至工程竣工验收合格提供施工现场配合服务。</w:t>
      </w:r>
    </w:p>
    <w:p w14:paraId="1C70B906">
      <w:pPr>
        <w:keepNext w:val="0"/>
        <w:keepLines w:val="0"/>
        <w:pageBreakBefore w:val="0"/>
        <w:widowControl w:val="0"/>
        <w:kinsoku/>
        <w:wordWrap/>
        <w:overflowPunct/>
        <w:topLinePunct w:val="0"/>
        <w:bidi w:val="0"/>
        <w:snapToGrid w:val="0"/>
        <w:spacing w:line="348" w:lineRule="auto"/>
        <w:jc w:val="left"/>
        <w:textAlignment w:val="auto"/>
        <w:rPr>
          <w:rFonts w:hint="eastAsia" w:ascii="仿宋" w:hAnsi="仿宋" w:eastAsia="仿宋" w:cs="仿宋"/>
          <w:color w:val="auto"/>
          <w:sz w:val="28"/>
          <w:szCs w:val="28"/>
        </w:rPr>
      </w:pPr>
      <w:r>
        <w:rPr>
          <w:rFonts w:hint="eastAsia" w:ascii="仿宋" w:hAnsi="仿宋" w:eastAsia="仿宋" w:cs="仿宋"/>
          <w:b/>
          <w:bCs/>
          <w:color w:val="auto"/>
          <w:kern w:val="0"/>
          <w:sz w:val="28"/>
          <w:szCs w:val="28"/>
          <w:highlight w:val="none"/>
          <w:lang w:val="en-US" w:eastAsia="zh-CN"/>
        </w:rPr>
        <w:t>第十一条</w:t>
      </w:r>
      <w:r>
        <w:rPr>
          <w:rFonts w:hint="eastAsia" w:ascii="仿宋" w:hAnsi="仿宋" w:eastAsia="仿宋" w:cs="仿宋"/>
          <w:b/>
          <w:bCs/>
          <w:color w:val="auto"/>
          <w:kern w:val="0"/>
          <w:sz w:val="28"/>
          <w:szCs w:val="28"/>
          <w:highlight w:val="none"/>
          <w:lang w:val="en-US" w:eastAsia="zh-CN" w:bidi="ar-SA"/>
        </w:rPr>
        <w:t xml:space="preserve"> 验收依据</w:t>
      </w:r>
      <w:bookmarkStart w:id="0" w:name="_GoBack"/>
      <w:bookmarkEnd w:id="0"/>
    </w:p>
    <w:p w14:paraId="3C04455E">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符合国家、地方、行业标准及</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技术要求。</w:t>
      </w:r>
    </w:p>
    <w:p w14:paraId="69F2925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验收依据：合同文本、磋商文件和成交供应商的磋商响应文件、</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报送的资料。</w:t>
      </w:r>
    </w:p>
    <w:p w14:paraId="4DF98769">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第十二条  违约责任</w:t>
      </w:r>
    </w:p>
    <w:p w14:paraId="14664C8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由于</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未给</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提供必要的工作生活条件而造成停、窝工等，工期按实际工日顺延。</w:t>
      </w:r>
    </w:p>
    <w:p w14:paraId="1FE5598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由于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原因造成勘测成果质量不合格，不能满足技术要求时，其返工勘测费用由</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承担。</w:t>
      </w:r>
    </w:p>
    <w:p w14:paraId="062697E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合同履行期间，由于工程停建而终止合同或</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要求解除合同时，由双方协商解决。</w:t>
      </w:r>
    </w:p>
    <w:p w14:paraId="1B269F4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(4）乙方</w:t>
      </w:r>
      <w:r>
        <w:rPr>
          <w:rFonts w:hint="eastAsia" w:ascii="仿宋" w:hAnsi="仿宋" w:eastAsia="仿宋" w:cs="仿宋"/>
          <w:color w:val="auto"/>
          <w:sz w:val="28"/>
          <w:szCs w:val="28"/>
          <w:highlight w:val="none"/>
        </w:rPr>
        <w:t>未按合同规定时间(日期)提交勘测成果资料，每超过一日，应减收勘测费的千分之一。</w:t>
      </w:r>
    </w:p>
    <w:p w14:paraId="2D8CFB54">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 xml:space="preserve">第十三条 不可抗力 </w:t>
      </w:r>
    </w:p>
    <w:p w14:paraId="2AE9020A">
      <w:pPr>
        <w:keepNext w:val="0"/>
        <w:keepLines w:val="0"/>
        <w:pageBreakBefore w:val="0"/>
        <w:widowControl w:val="0"/>
        <w:kinsoku/>
        <w:wordWrap/>
        <w:overflowPunct/>
        <w:topLinePunct w:val="0"/>
        <w:bidi w:val="0"/>
        <w:snapToGrid w:val="0"/>
        <w:spacing w:line="348" w:lineRule="auto"/>
        <w:ind w:firstLine="560" w:firstLineChars="200"/>
        <w:textAlignment w:val="auto"/>
        <w:outlineLvl w:val="9"/>
        <w:rPr>
          <w:rFonts w:hint="eastAsia" w:ascii="仿宋" w:hAnsi="仿宋" w:eastAsia="仿宋" w:cs="仿宋"/>
          <w:color w:val="auto"/>
          <w:kern w:val="0"/>
          <w:sz w:val="28"/>
          <w:szCs w:val="28"/>
          <w:highlight w:val="none"/>
          <w:u w:val="none"/>
        </w:rPr>
      </w:pPr>
      <w:r>
        <w:rPr>
          <w:rFonts w:hint="eastAsia" w:ascii="仿宋" w:hAnsi="仿宋" w:eastAsia="仿宋" w:cs="仿宋"/>
          <w:color w:val="auto"/>
          <w:sz w:val="28"/>
          <w:szCs w:val="28"/>
          <w:highlight w:val="none"/>
          <w:u w:val="none"/>
          <w:lang w:val="en-US" w:eastAsia="zh-CN"/>
        </w:rPr>
        <w:t>双方约定</w:t>
      </w:r>
      <w:r>
        <w:rPr>
          <w:rFonts w:hint="eastAsia" w:ascii="仿宋" w:hAnsi="仿宋" w:eastAsia="仿宋" w:cs="仿宋"/>
          <w:color w:val="auto"/>
          <w:sz w:val="28"/>
          <w:szCs w:val="28"/>
          <w:highlight w:val="none"/>
          <w:u w:val="none"/>
        </w:rPr>
        <w:t>不可抗力的情形：</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none"/>
        </w:rPr>
        <w:t>。</w:t>
      </w:r>
    </w:p>
    <w:p w14:paraId="16CD32C7">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第十四条 争议解决</w:t>
      </w:r>
    </w:p>
    <w:p w14:paraId="3C77F882">
      <w:pPr>
        <w:keepNext w:val="0"/>
        <w:keepLines w:val="0"/>
        <w:pageBreakBefore w:val="0"/>
        <w:widowControl w:val="0"/>
        <w:kinsoku/>
        <w:wordWrap/>
        <w:overflowPunct/>
        <w:topLinePunct w:val="0"/>
        <w:bidi w:val="0"/>
        <w:snapToGrid w:val="0"/>
        <w:spacing w:line="348" w:lineRule="auto"/>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如果双方就该合同履行产生纠纷，本着协商解决的原则，双方协商，如果达不成一致意见，任何一方均可向采购人所在地法院诉讼解决。</w:t>
      </w:r>
    </w:p>
    <w:p w14:paraId="45381B98">
      <w:pPr>
        <w:keepNext w:val="0"/>
        <w:keepLines w:val="0"/>
        <w:pageBreakBefore w:val="0"/>
        <w:kinsoku/>
        <w:wordWrap/>
        <w:overflowPunct/>
        <w:topLinePunct w:val="0"/>
        <w:autoSpaceDE/>
        <w:autoSpaceDN/>
        <w:bidi w:val="0"/>
        <w:adjustRightInd/>
        <w:snapToGrid w:val="0"/>
        <w:spacing w:line="348" w:lineRule="auto"/>
        <w:textAlignment w:val="auto"/>
        <w:outlineLvl w:val="9"/>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 xml:space="preserve">第十五条 其他  </w:t>
      </w:r>
    </w:p>
    <w:p w14:paraId="7743E084">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自甲方、乙方签字盖章后生效；按规定到建设行政主管部门规定的审查部门备案；甲方、乙方认为必要时，到项目所在地工商行政管理部门申请鉴证。甲方、乙方履行完合同规定的义务后，本合同终止。</w:t>
      </w:r>
    </w:p>
    <w:p w14:paraId="7191BFFA">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2、本合同一式伍份，甲方贰份，乙方贰份，代理机构壹份。</w:t>
      </w:r>
    </w:p>
    <w:p w14:paraId="7E3F4FC9">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1BABE67">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以下为合同签署页。</w:t>
      </w:r>
    </w:p>
    <w:p w14:paraId="0DD47B14">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lang w:eastAsia="zh-CN"/>
        </w:rPr>
      </w:pPr>
    </w:p>
    <w:p w14:paraId="2A639BE3">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p>
    <w:p w14:paraId="372438C2">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p>
    <w:p w14:paraId="75194646">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（签字或盖章）</w:t>
      </w:r>
    </w:p>
    <w:p w14:paraId="50B34B14">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9D45277">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0F90890">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3249498">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2D2A4EB9">
      <w:pPr>
        <w:keepNext w:val="0"/>
        <w:keepLines w:val="0"/>
        <w:pageBreakBefore w:val="0"/>
        <w:widowControl/>
        <w:kinsoku/>
        <w:wordWrap/>
        <w:overflowPunct/>
        <w:topLinePunct w:val="0"/>
        <w:autoSpaceDE/>
        <w:autoSpaceDN/>
        <w:bidi w:val="0"/>
        <w:adjustRightInd/>
        <w:snapToGrid w:val="0"/>
        <w:spacing w:line="348" w:lineRule="auto"/>
        <w:ind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时    间： 年月日</w:t>
      </w:r>
    </w:p>
    <w:p w14:paraId="34B12ED1">
      <w:pPr>
        <w:pStyle w:val="5"/>
        <w:jc w:val="left"/>
        <w:rPr>
          <w:color w:val="auto"/>
          <w:sz w:val="24"/>
          <w:szCs w:val="24"/>
        </w:rPr>
      </w:pPr>
    </w:p>
    <w:p w14:paraId="3CDAB775"/>
    <w:sectPr>
      <w:pgSz w:w="11900" w:h="16840"/>
      <w:pgMar w:top="1431" w:right="1268" w:bottom="1276" w:left="1418" w:header="0" w:footer="346"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D927B4"/>
    <w:rsid w:val="25D927B4"/>
    <w:rsid w:val="27AE5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semiHidden/>
    <w:qFormat/>
    <w:uiPriority w:val="0"/>
    <w:pPr>
      <w:jc w:val="center"/>
    </w:pPr>
    <w:rPr>
      <w:rFonts w:ascii="仿宋" w:hAnsi="仿宋" w:eastAsia="仿宋" w:cs="仿宋"/>
      <w:b/>
      <w:bCs/>
      <w:sz w:val="32"/>
      <w:szCs w:val="44"/>
    </w:rPr>
  </w:style>
  <w:style w:type="paragraph" w:styleId="6">
    <w:name w:val="Body Text Indent"/>
    <w:basedOn w:val="1"/>
    <w:next w:val="1"/>
    <w:unhideWhenUsed/>
    <w:qFormat/>
    <w:uiPriority w:val="99"/>
    <w:pPr>
      <w:spacing w:after="120"/>
      <w:ind w:left="420" w:leftChars="200"/>
    </w:pPr>
    <w:rPr>
      <w:rFonts w:eastAsiaTheme="minorEastAsia"/>
    </w:rPr>
  </w:style>
  <w:style w:type="paragraph" w:styleId="7">
    <w:name w:val="Body Text First Indent 2"/>
    <w:basedOn w:val="6"/>
    <w:next w:val="1"/>
    <w:unhideWhenUsed/>
    <w:qFormat/>
    <w:uiPriority w:val="99"/>
    <w:pPr>
      <w:ind w:firstLine="420" w:firstLineChars="200"/>
    </w:pPr>
  </w:style>
  <w:style w:type="paragraph" w:customStyle="1" w:styleId="1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3752</Words>
  <Characters>4280</Characters>
  <Lines>0</Lines>
  <Paragraphs>0</Paragraphs>
  <TotalTime>0</TotalTime>
  <ScaleCrop>false</ScaleCrop>
  <LinksUpToDate>false</LinksUpToDate>
  <CharactersWithSpaces>4780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2025-07-25T07:24:00Z</dcterms:created>
  <dc:creator>七安</dc:creator>
  <cp:lastModifiedBy>七安</cp:lastModifiedBy>
  <dcterms:modified xsi:type="dcterms:W3CDTF">2025-07-25T08:04:09Z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50E2A8AC066745428F24C3D1F270AE98_11</vt:lpwstr>
  </property>
  <property fmtid="{D5CDD505-2E9C-101B-9397-08002B2CF9AE}" pid="4" name="KSOTemplateDocerSaveRecord">
    <vt:lpwstr>eyJoZGlkIjoiYTNjODljY2I4NDIwMDBiNmUwYjUxZTZlNmE1NzJmOTgiLCJ1c2VySWQiOiI2ODY0MTEyNzMifQ==</vt:lpwstr>
  </property>
</Properties>
</file>