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版本号：XDZ2025-166-J-7120250725001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西安高新区万达330千伏变电站配套电力沟道管线勘察项目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XDZ2025-166-J-71</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西安高新区万达330千伏变电站配套电力沟道管线勘察项目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XDZ2025-166-J-71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西安高新区万达330千伏变电站配套电力沟道管线勘察项目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西安高新区万达330千伏变电站配套电力沟道管线勘察。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4、资质证书：供应商具备工程勘察综合类甲级资质或工程勘察专业类（岩土工程）乙级及以上资质。；供应商需在项目电子化交易系统中按要求上传相应证明文件并进行电子签章。</w:t>
      </w:r>
    </w:p>
    <w:p>
      <w:pPr>
        <w:pStyle w:val="null3"/>
      </w:pPr>
      <w:r>
        <w:rPr>
          <w:rFonts w:ascii="仿宋_GB2312" w:hAnsi="仿宋_GB2312" w:cs="仿宋_GB2312" w:eastAsia="仿宋_GB2312"/>
        </w:rPr>
        <w:t>5、项目负责人：拟派项目负责人应具有注册土木工程师（岩土）执业资格；供应商需在项目电子化交易系统中按要求上传相应证明文件并进行电子签章。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钞工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西安市雁塔区太白南路139号荣禾云图中心4楼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18740486176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代理服务费收费标准：由成交供应商进行支付，支付金额按照计价格[2002]1980号文件及发改价格[2011]534号文件收费标准*40.5%计算，不足5000元，按照5000元计取。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（1）验收标准：由采购人组织或委托相关部门服务期间进行现场巡检、验收，并符合竞争性磋商文件及国家、省市及行业相关要求。 （2）验收依据：合同文本、竞争性磋商文件和竞争性磋商响应文件。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联系人：刘晓云</w:t>
      </w:r>
    </w:p>
    <w:p>
      <w:pPr>
        <w:pStyle w:val="null3"/>
      </w:pPr>
      <w:r>
        <w:rPr>
          <w:rFonts w:ascii="仿宋_GB2312" w:hAnsi="仿宋_GB2312" w:cs="仿宋_GB2312" w:eastAsia="仿宋_GB2312"/>
        </w:rPr>
        <w:t>联系电话：029-87563727</w:t>
      </w:r>
    </w:p>
    <w:p>
      <w:pPr>
        <w:pStyle w:val="null3"/>
      </w:pPr>
      <w:r>
        <w:rPr>
          <w:rFonts w:ascii="仿宋_GB2312" w:hAnsi="仿宋_GB2312" w:cs="仿宋_GB2312" w:eastAsia="仿宋_GB2312"/>
        </w:rPr>
        <w:t>地址：西安市雁塔区太白南路139号荣禾云图中心4楼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西安高新区万达330千伏变电站配套电力沟道管线勘察.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西安高新区万达330千伏变电站配套电力沟道管线勘察项目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标的名称：西安高新区万达330千伏变电站配套电力沟道管线勘察项目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1.项目名称：西安高新区万达330千伏变电站配套电力沟道管线勘察项目</w:t>
            </w:r>
          </w:p>
          <w:p>
            <w:pPr>
              <w:pStyle w:val="null3"/>
            </w:pPr>
            <w:r>
              <w:rPr>
                <w:rFonts w:ascii="仿宋_GB2312" w:hAnsi="仿宋_GB2312" w:cs="仿宋_GB2312" w:eastAsia="仿宋_GB2312"/>
                <w:sz w:val="21"/>
                <w:color w:val="000000"/>
              </w:rPr>
              <w:t>2.项目地点：</w:t>
            </w:r>
            <w:r>
              <w:rPr>
                <w:rFonts w:ascii="仿宋_GB2312" w:hAnsi="仿宋_GB2312" w:cs="仿宋_GB2312" w:eastAsia="仿宋_GB2312"/>
                <w:sz w:val="21"/>
                <w:color w:val="000000"/>
              </w:rPr>
              <w:t>西起唐延南路西侧高速绿带内始发井</w:t>
            </w:r>
            <w:r>
              <w:rPr>
                <w:rFonts w:ascii="仿宋_GB2312" w:hAnsi="仿宋_GB2312" w:cs="仿宋_GB2312" w:eastAsia="仿宋_GB2312"/>
                <w:sz w:val="21"/>
                <w:color w:val="000000"/>
              </w:rPr>
              <w:t>(即万达变变电站外工作井)，沿绕城高速自东向西，直至现状河寨变</w:t>
            </w:r>
            <w:r>
              <w:rPr>
                <w:rFonts w:ascii="仿宋_GB2312" w:hAnsi="仿宋_GB2312" w:cs="仿宋_GB2312" w:eastAsia="仿宋_GB2312"/>
                <w:sz w:val="21"/>
                <w:color w:val="000000"/>
              </w:rPr>
              <w:t>，</w:t>
            </w:r>
            <w:r>
              <w:rPr>
                <w:rFonts w:ascii="仿宋_GB2312" w:hAnsi="仿宋_GB2312" w:cs="仿宋_GB2312" w:eastAsia="仿宋_GB2312"/>
                <w:sz w:val="21"/>
                <w:color w:val="000000"/>
              </w:rPr>
              <w:t>具体以采购人指定地点为准</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3.服务期限：</w:t>
            </w: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120天。</w:t>
            </w:r>
          </w:p>
          <w:p>
            <w:pPr>
              <w:pStyle w:val="null3"/>
            </w:pPr>
            <w:r>
              <w:rPr>
                <w:rFonts w:ascii="仿宋_GB2312" w:hAnsi="仿宋_GB2312" w:cs="仿宋_GB2312" w:eastAsia="仿宋_GB2312"/>
                <w:sz w:val="21"/>
                <w:color w:val="000000"/>
              </w:rPr>
              <w:t>4.质量标准：符合国家、地方、行业标准及采购人技术要求。</w:t>
            </w:r>
          </w:p>
          <w:p>
            <w:pPr>
              <w:pStyle w:val="null3"/>
            </w:pPr>
            <w:r>
              <w:rPr>
                <w:rFonts w:ascii="仿宋_GB2312" w:hAnsi="仿宋_GB2312" w:cs="仿宋_GB2312" w:eastAsia="仿宋_GB2312"/>
                <w:sz w:val="21"/>
                <w:color w:val="000000"/>
              </w:rPr>
              <w:t>二、服务内容</w:t>
            </w:r>
          </w:p>
          <w:p>
            <w:pPr>
              <w:pStyle w:val="null3"/>
            </w:pPr>
            <w:r>
              <w:rPr>
                <w:rFonts w:ascii="仿宋_GB2312" w:hAnsi="仿宋_GB2312" w:cs="仿宋_GB2312" w:eastAsia="仿宋_GB2312"/>
                <w:sz w:val="21"/>
                <w:color w:val="000000"/>
              </w:rPr>
              <w:t>（一）工程概况</w:t>
            </w:r>
          </w:p>
          <w:p>
            <w:pPr>
              <w:pStyle w:val="null3"/>
            </w:pPr>
            <w:r>
              <w:rPr>
                <w:rFonts w:ascii="仿宋_GB2312" w:hAnsi="仿宋_GB2312" w:cs="仿宋_GB2312" w:eastAsia="仿宋_GB2312"/>
                <w:sz w:val="21"/>
                <w:color w:val="000000"/>
              </w:rPr>
              <w:t>西安高新区万达</w:t>
            </w:r>
            <w:r>
              <w:rPr>
                <w:rFonts w:ascii="仿宋_GB2312" w:hAnsi="仿宋_GB2312" w:cs="仿宋_GB2312" w:eastAsia="仿宋_GB2312"/>
                <w:sz w:val="21"/>
                <w:color w:val="000000"/>
              </w:rPr>
              <w:t>330千伏变电站配套电力沟道管线勘察项目工程量汇总表</w:t>
            </w:r>
          </w:p>
          <w:tbl>
            <w:tblPr>
              <w:tblBorders>
                <w:top w:val="none" w:color="000000" w:sz="4"/>
                <w:left w:val="none" w:color="000000" w:sz="4"/>
                <w:bottom w:val="none" w:color="000000" w:sz="4"/>
                <w:right w:val="none" w:color="000000" w:sz="4"/>
                <w:insideH w:val="none"/>
                <w:insideV w:val="none"/>
              </w:tblBorders>
            </w:tblPr>
            <w:tblGrid>
              <w:gridCol w:w="332"/>
              <w:gridCol w:w="465"/>
              <w:gridCol w:w="880"/>
              <w:gridCol w:w="606"/>
            </w:tblGrid>
            <w:tr>
              <w:tc>
                <w:tcPr>
                  <w:tcW w:type="dxa" w:w="33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项目编号</w:t>
                  </w:r>
                </w:p>
              </w:tc>
              <w:tc>
                <w:tcPr>
                  <w:tcW w:type="dxa" w:w="46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88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工程量</w:t>
                  </w:r>
                </w:p>
              </w:tc>
              <w:tc>
                <w:tcPr>
                  <w:tcW w:type="dxa" w:w="60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3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6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勘察</w:t>
                  </w:r>
                </w:p>
              </w:tc>
              <w:tc>
                <w:tcPr>
                  <w:tcW w:type="dxa" w:w="8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247778㎡</w:t>
                  </w:r>
                </w:p>
              </w:tc>
              <w:tc>
                <w:tcPr>
                  <w:tcW w:type="dxa" w:w="60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1"/>
                <w:color w:val="000000"/>
              </w:rPr>
              <w:t>（二）勘察目的</w:t>
            </w:r>
            <w:r>
              <w:rPr>
                <w:rFonts w:ascii="仿宋_GB2312" w:hAnsi="仿宋_GB2312" w:cs="仿宋_GB2312" w:eastAsia="仿宋_GB2312"/>
                <w:sz w:val="21"/>
                <w:color w:val="000000"/>
              </w:rPr>
              <w:t>及任务要求</w:t>
            </w:r>
          </w:p>
          <w:p>
            <w:pPr>
              <w:pStyle w:val="null3"/>
            </w:pPr>
            <w:r>
              <w:rPr>
                <w:rFonts w:ascii="仿宋_GB2312" w:hAnsi="仿宋_GB2312" w:cs="仿宋_GB2312" w:eastAsia="仿宋_GB2312"/>
                <w:sz w:val="21"/>
                <w:color w:val="000000"/>
              </w:rPr>
              <w:t>2.1勘察目的及任务要求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1）须查明规定范围内地下管线的种类、平面位置、检查井位置、走向、高程（或埋深）、规格（形状及尺寸）、性质、材质等，并编绘地下管网图；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2）地下隐蔽管线点的探测精度：水平位置限差±（0.1h）(相对于管线中心轴线)；埋深限差±（0.15h）。h为管线的中心埋深，单位为厘米，当h&lt;100cm时，则以100cm代入计算。</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3）地下管线测量精度要求：平面位置中误差（相对于邻近的平面控制点）不大于±5cm；高程测量中误差（相对于邻近高程控制点）不大于±3cm。</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4）地下管线图编绘精度要求：地下管线的实际位置与邻近地上建(构)筑物、道路中心线及相邻管线的间距中误差不大于图上±0.8mm；</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5）查明地下管线对工程施工不利的障碍物。</w:t>
            </w:r>
          </w:p>
          <w:p>
            <w:pPr>
              <w:pStyle w:val="null3"/>
            </w:pPr>
            <w:r>
              <w:rPr>
                <w:rFonts w:ascii="仿宋_GB2312" w:hAnsi="仿宋_GB2312" w:cs="仿宋_GB2312" w:eastAsia="仿宋_GB2312"/>
                <w:sz w:val="21"/>
                <w:color w:val="000000"/>
              </w:rPr>
              <w:t>（三）勘察技术要求</w:t>
            </w:r>
          </w:p>
          <w:p>
            <w:pPr>
              <w:pStyle w:val="null3"/>
            </w:pPr>
            <w:r>
              <w:rPr>
                <w:rFonts w:ascii="仿宋_GB2312" w:hAnsi="仿宋_GB2312" w:cs="仿宋_GB2312" w:eastAsia="仿宋_GB2312"/>
                <w:sz w:val="21"/>
                <w:color w:val="000000"/>
              </w:rPr>
              <w:t>(1)《工程测量标准》（</w:t>
            </w:r>
            <w:r>
              <w:rPr>
                <w:rFonts w:ascii="仿宋_GB2312" w:hAnsi="仿宋_GB2312" w:cs="仿宋_GB2312" w:eastAsia="仿宋_GB2312"/>
                <w:sz w:val="21"/>
                <w:color w:val="000000"/>
              </w:rPr>
              <w:t>GB 50026-2</w:t>
            </w:r>
            <w:r>
              <w:rPr>
                <w:rFonts w:ascii="仿宋_GB2312" w:hAnsi="仿宋_GB2312" w:cs="仿宋_GB2312" w:eastAsia="仿宋_GB2312"/>
                <w:sz w:val="21"/>
                <w:color w:val="000000"/>
              </w:rPr>
              <w:t>020）；</w:t>
            </w:r>
          </w:p>
          <w:p>
            <w:pPr>
              <w:pStyle w:val="null3"/>
            </w:pPr>
            <w:r>
              <w:rPr>
                <w:rFonts w:ascii="仿宋_GB2312" w:hAnsi="仿宋_GB2312" w:cs="仿宋_GB2312" w:eastAsia="仿宋_GB2312"/>
                <w:sz w:val="21"/>
                <w:color w:val="000000"/>
              </w:rPr>
              <w:t>(2)《全球定位系统实时动态测量（RTK）技术规范》 （CH/T2009-2010）；</w:t>
            </w:r>
          </w:p>
          <w:p>
            <w:pPr>
              <w:pStyle w:val="null3"/>
            </w:pPr>
            <w:r>
              <w:rPr>
                <w:rFonts w:ascii="仿宋_GB2312" w:hAnsi="仿宋_GB2312" w:cs="仿宋_GB2312" w:eastAsia="仿宋_GB2312"/>
                <w:sz w:val="21"/>
                <w:color w:val="000000"/>
              </w:rPr>
              <w:t>(3)《1:500 1:1000 1:2000地形图图式》GB/T 20257. 1-2017;</w:t>
            </w:r>
          </w:p>
          <w:p>
            <w:pPr>
              <w:pStyle w:val="null3"/>
            </w:pPr>
            <w:r>
              <w:rPr>
                <w:rFonts w:ascii="仿宋_GB2312" w:hAnsi="仿宋_GB2312" w:cs="仿宋_GB2312" w:eastAsia="仿宋_GB2312"/>
                <w:sz w:val="21"/>
                <w:color w:val="000000"/>
              </w:rPr>
              <w:t>(4)《测绘产品质量评定标准》CH 1003-95;</w:t>
            </w:r>
          </w:p>
          <w:p>
            <w:pPr>
              <w:pStyle w:val="null3"/>
            </w:pPr>
            <w:r>
              <w:rPr>
                <w:rFonts w:ascii="仿宋_GB2312" w:hAnsi="仿宋_GB2312" w:cs="仿宋_GB2312" w:eastAsia="仿宋_GB2312"/>
                <w:sz w:val="21"/>
                <w:color w:val="000000"/>
              </w:rPr>
              <w:t>(5)《测绘产品检查验收规定》CH 1002-95;</w:t>
            </w:r>
          </w:p>
          <w:p>
            <w:pPr>
              <w:pStyle w:val="null3"/>
            </w:pPr>
            <w:r>
              <w:rPr>
                <w:rFonts w:ascii="仿宋_GB2312" w:hAnsi="仿宋_GB2312" w:cs="仿宋_GB2312" w:eastAsia="仿宋_GB2312"/>
                <w:sz w:val="21"/>
                <w:color w:val="000000"/>
              </w:rPr>
              <w:t>(6)《数字测绘成果质量检查与验收》GB/T 18316-2008;</w:t>
            </w:r>
          </w:p>
          <w:p>
            <w:pPr>
              <w:pStyle w:val="null3"/>
            </w:pPr>
            <w:r>
              <w:rPr>
                <w:rFonts w:ascii="仿宋_GB2312" w:hAnsi="仿宋_GB2312" w:cs="仿宋_GB2312" w:eastAsia="仿宋_GB2312"/>
                <w:sz w:val="21"/>
                <w:color w:val="000000"/>
              </w:rPr>
              <w:t>(7)《城市地下管线探测技术规程》（CJJ61-2003）；</w:t>
            </w:r>
          </w:p>
          <w:p>
            <w:pPr>
              <w:pStyle w:val="null3"/>
            </w:pPr>
            <w:r>
              <w:rPr>
                <w:rFonts w:ascii="仿宋_GB2312" w:hAnsi="仿宋_GB2312" w:cs="仿宋_GB2312" w:eastAsia="仿宋_GB2312"/>
                <w:sz w:val="21"/>
                <w:color w:val="000000"/>
              </w:rPr>
              <w:t>(8)《地下管线电磁法探测规程》YB/9029-94；</w:t>
            </w:r>
          </w:p>
          <w:p>
            <w:pPr>
              <w:pStyle w:val="null3"/>
            </w:pPr>
            <w:r>
              <w:rPr>
                <w:rFonts w:ascii="仿宋_GB2312" w:hAnsi="仿宋_GB2312" w:cs="仿宋_GB2312" w:eastAsia="仿宋_GB2312"/>
                <w:sz w:val="21"/>
                <w:color w:val="000000"/>
              </w:rPr>
              <w:t>(9)《城镇排水管道检测与评估技术规程》CJJ181—2012；</w:t>
            </w:r>
          </w:p>
          <w:p>
            <w:pPr>
              <w:pStyle w:val="null3"/>
            </w:pPr>
            <w:r>
              <w:rPr>
                <w:rFonts w:ascii="仿宋_GB2312" w:hAnsi="仿宋_GB2312" w:cs="仿宋_GB2312" w:eastAsia="仿宋_GB2312"/>
                <w:sz w:val="21"/>
                <w:color w:val="000000"/>
              </w:rPr>
              <w:t>(10)《基础地理信息要素分类与代码》（GB/T13923-2006）；</w:t>
            </w:r>
          </w:p>
          <w:p>
            <w:pPr>
              <w:pStyle w:val="null3"/>
            </w:pPr>
            <w:r>
              <w:rPr>
                <w:rFonts w:ascii="仿宋_GB2312" w:hAnsi="仿宋_GB2312" w:cs="仿宋_GB2312" w:eastAsia="仿宋_GB2312"/>
                <w:sz w:val="21"/>
                <w:color w:val="000000"/>
              </w:rPr>
              <w:t>(11)《卫星定位城市测量技术规程》(CJJ／T 73-2010)；</w:t>
            </w:r>
          </w:p>
          <w:p>
            <w:pPr>
              <w:pStyle w:val="null3"/>
            </w:pPr>
            <w:r>
              <w:rPr>
                <w:rFonts w:ascii="仿宋_GB2312" w:hAnsi="仿宋_GB2312" w:cs="仿宋_GB2312" w:eastAsia="仿宋_GB2312"/>
                <w:sz w:val="21"/>
                <w:color w:val="000000"/>
              </w:rPr>
              <w:t>(12)《城市测量规范》(CJJ/T8-2011)；</w:t>
            </w:r>
          </w:p>
          <w:p>
            <w:pPr>
              <w:pStyle w:val="null3"/>
            </w:pPr>
            <w:r>
              <w:rPr>
                <w:rFonts w:ascii="仿宋_GB2312" w:hAnsi="仿宋_GB2312" w:cs="仿宋_GB2312" w:eastAsia="仿宋_GB2312"/>
                <w:sz w:val="21"/>
                <w:color w:val="000000"/>
              </w:rPr>
              <w:t>(13)《陕西省测绘条例》（2019年修订）；</w:t>
            </w:r>
          </w:p>
          <w:p>
            <w:pPr>
              <w:pStyle w:val="null3"/>
            </w:pPr>
            <w:r>
              <w:rPr>
                <w:rFonts w:ascii="仿宋_GB2312" w:hAnsi="仿宋_GB2312" w:cs="仿宋_GB2312" w:eastAsia="仿宋_GB2312"/>
                <w:sz w:val="21"/>
                <w:color w:val="000000"/>
              </w:rPr>
              <w:t>(14)其他现行有关国家规范或国家标准。</w:t>
            </w:r>
          </w:p>
          <w:p>
            <w:pPr>
              <w:pStyle w:val="null3"/>
            </w:pPr>
            <w:r>
              <w:rPr>
                <w:rFonts w:ascii="仿宋_GB2312" w:hAnsi="仿宋_GB2312" w:cs="仿宋_GB2312" w:eastAsia="仿宋_GB2312"/>
                <w:sz w:val="21"/>
                <w:color w:val="000000"/>
              </w:rPr>
              <w:t>（四）需提交的技术资料</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1）本工程应根据采购人要求，提供岩土工程勘察报告。</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2）地下管线勘察任务的依据目的和要求，以及本阶段工作的主要内容和工作量；</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3）地下管线综合图，管线根据管线种类的不同采用不同的彩色线条和注记；</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4）技术总结报告，对整个工程进行了全面、客观地说明，对具体的工作方法作了较详细的阐述。</w:t>
            </w:r>
          </w:p>
          <w:p>
            <w:pPr>
              <w:pStyle w:val="null3"/>
            </w:pPr>
            <w:r>
              <w:rPr>
                <w:rFonts w:ascii="仿宋_GB2312" w:hAnsi="仿宋_GB2312" w:cs="仿宋_GB2312" w:eastAsia="仿宋_GB2312"/>
                <w:sz w:val="21"/>
                <w:b/>
                <w:color w:val="000000"/>
              </w:rPr>
              <w:t>三、成果资料份数要求：按照采购人要求提供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根据工作需要合理配置人员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根据实际工作情况配置设施设备。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西起唐延南路西侧高速绿带内始发井(即万达变变电站外工作井)，沿绕城高速自东向西，直至现状河寨变，具体以采购人指定地点为准。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（1）符合国家、地方、行业标准及采购人技术要求。 （2）验收依据：合同文本、磋商文件和成交供应商的磋商响应文件、成交供应商报送的资料。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本项目无预付款，乙方完成项目后，依据甲方确认的实际服务工作量考核结果提出付款申请，经甲方审核确认后支付费用。 乙方提交勘查报告并提出付款申请，同时提供相应的增值税专用发票后甲方向其支付应付费用的 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待高新区管委会审定结算金额后，供应商提供剩余费用的增值税专用发票，采购人支付剩余费用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（1）由于采购人未给供应商提供必要的工作生活条件而造成停、窝工等，工期按实际工日顺延。 （2）由于供应商原因造成勘查成果质量不合格，不能满足技术要求时，其返工勘查费用由供应商承担。 （3）合同履行期间，由于工程停建而终止合同或采购人要求解除合同时，由双方协商解决。 （4）供应商未按合同规定时间(日期)提交勘查成果资料，每超过一日，应减收勘查费的千分之一。 解决争议的方法：如果双方就该合同履行产生纠纷，本着协商解决的原则，双方协商，如果达不成一致意见，任何一方均可向采购人所在地法院诉讼解决。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合同总金额包括但不限于勘察费、材料费、人工费、设备费、设备进出场费用、设备场内转运费用、出报告的各项费用、技术处理费、乙方承诺检测日期内的赶工费、各种施工检测风险、技术措施费(包括雨季及异常气候施工措施费等)、保险费、差旅费、管理费、税费、招标代理服务费、风险、各项保险费、利润及地方规定的任何收费等所需的全部费用，任何错报漏报由供应商自行负责。 3.4.2.供应商领取成交通知书时须向代理机构提交纸质版磋商响应文件：正本壹份、副本贰份、电子版（U盘）贰份。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供应商具备工程勘察综合类甲级资质或工程勘察专业类（岩土工程）乙级及以上资质。；供应商需在项目电子化交易系统中按要求上传相应证明文件并进行电子签章。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拟派项目负责人应具有注册土木工程师（岩土）执业资格；供应商需在项目电子化交易系统中按要求上传相应证明文件并进行电子签章。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提供类似项目业绩合同（以合同签订时间为准），每份计2.5分，满分10分。（注：以上证明文件在磋商响应文件中附业绩合同扫描件并加盖公司公章。）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管线勘察服务方案</w:t>
            </w:r>
          </w:p>
        </w:tc>
        <w:tc>
          <w:tcPr>
            <w:tcW w:type="dxa" w:w="2492"/>
          </w:tcPr>
          <w:p>
            <w:pPr>
              <w:pStyle w:val="null3"/>
            </w:pPr>
            <w:r>
              <w:rPr>
                <w:rFonts w:ascii="仿宋_GB2312" w:hAnsi="仿宋_GB2312" w:cs="仿宋_GB2312" w:eastAsia="仿宋_GB2312"/>
              </w:rPr>
              <w:t>1.编制的管线勘察方案内容涵盖本项目全部内容，总体实施方案全面、详细完整、可操作性强、细节考虑到位计（8～15]分； 2.总体实施方案较全面、较详细完整、可操作性较强计(4～8]分； 3.内容一般计[0～4]分。 本项满分15分；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项目总体勘察思路</w:t>
            </w:r>
          </w:p>
        </w:tc>
        <w:tc>
          <w:tcPr>
            <w:tcW w:type="dxa" w:w="2492"/>
          </w:tcPr>
          <w:p>
            <w:pPr>
              <w:pStyle w:val="null3"/>
            </w:pPr>
            <w:r>
              <w:rPr>
                <w:rFonts w:ascii="仿宋_GB2312" w:hAnsi="仿宋_GB2312" w:cs="仿宋_GB2312" w:eastAsia="仿宋_GB2312"/>
              </w:rPr>
              <w:t>根据勘察思路合理、严谨、清晰，方案完整程度，描述详尽程度等计[0～5]分。本项最高得5分。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1.人员组织架构完整，岗位设置合理、明确，技术人员专业性、经验性强，且对本项目有针对性，计(6-10]分； 2.人员组织架构有待优化，技术人员岗位设置基本合理，人员专业性、经验性一般，计(2-6]分； 3.人员组织架构，技术人员岗位设置不合理，与本项目不相关，计[0-2]分。 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进度计划及保障</w:t>
            </w:r>
          </w:p>
        </w:tc>
        <w:tc>
          <w:tcPr>
            <w:tcW w:type="dxa" w:w="2492"/>
          </w:tcPr>
          <w:p>
            <w:pPr>
              <w:pStyle w:val="null3"/>
            </w:pPr>
            <w:r>
              <w:rPr>
                <w:rFonts w:ascii="仿宋_GB2312" w:hAnsi="仿宋_GB2312" w:cs="仿宋_GB2312" w:eastAsia="仿宋_GB2312"/>
              </w:rPr>
              <w:t>1.确保本项目服务进度计划及保障措施，措施描述完整、可操作性强、细节描述详细优越的计[4～8]分； 2.有相对的操作性，内容一般描述良好计[0～4)分。本项最高得8分。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质量保障控制措施</w:t>
            </w:r>
          </w:p>
        </w:tc>
        <w:tc>
          <w:tcPr>
            <w:tcW w:type="dxa" w:w="2492"/>
          </w:tcPr>
          <w:p>
            <w:pPr>
              <w:pStyle w:val="null3"/>
            </w:pPr>
            <w:r>
              <w:rPr>
                <w:rFonts w:ascii="仿宋_GB2312" w:hAnsi="仿宋_GB2312" w:cs="仿宋_GB2312" w:eastAsia="仿宋_GB2312"/>
              </w:rPr>
              <w:t>1.本项目服务质量的保障控制措施，措施描述完整、可操作性强、细节描述详细优越的计（7～10]分； 2.有相对的操作性，描述良好计（4～7]分； 3.内容一般的计[0～4]分。 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1.对项目重难点、关键性技术问题的把握准确、分析到位，所提供的对策措施完善，有较强的针对性，得[4～7]分； 2.对项目重难点、关键性技术问题的把握基本准确、分析简单，所提供的对策措施合理，有一定的针对性，计[0～4)； 本项最高得7分。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根据拟投入本项目的勘察设备的种类、数量等进行综合赋分，根据响应程度计[0～5]分。本项最高得5分。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后续技术服务方案及承诺</w:t>
            </w:r>
          </w:p>
        </w:tc>
        <w:tc>
          <w:tcPr>
            <w:tcW w:type="dxa" w:w="2492"/>
          </w:tcPr>
          <w:p>
            <w:pPr>
              <w:pStyle w:val="null3"/>
            </w:pPr>
            <w:r>
              <w:rPr>
                <w:rFonts w:ascii="仿宋_GB2312" w:hAnsi="仿宋_GB2312" w:cs="仿宋_GB2312" w:eastAsia="仿宋_GB2312"/>
              </w:rPr>
              <w:t>后续技术服务方案及承诺，根据提供的各项服务承诺，工作进度、质量、工期及其他方面实质性承诺,按响应程度计[0～5]分。本项最高得5分。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针对本项目的合理化建议</w:t>
            </w:r>
          </w:p>
        </w:tc>
        <w:tc>
          <w:tcPr>
            <w:tcW w:type="dxa" w:w="2492"/>
          </w:tcPr>
          <w:p>
            <w:pPr>
              <w:pStyle w:val="null3"/>
            </w:pPr>
            <w:r>
              <w:rPr>
                <w:rFonts w:ascii="仿宋_GB2312" w:hAnsi="仿宋_GB2312" w:cs="仿宋_GB2312" w:eastAsia="仿宋_GB2312"/>
              </w:rPr>
              <w:t>针对本项目的合理化建议，建议内容科学全面具体，针对性强，切合项目实际情况的计[0～5]分，本项最高得5分。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报价一览表及分项报价表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2.本项目所属行业：其他未列明行业。从业人员300人以下的为中小微型企业。其中，从业人员100人及以上的为中型企业；从业人员10人及以上的为小型企业；从业人员10人以下的为微型企业。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报价一览表及分项报价表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