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62411">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outlineLvl w:val="0"/>
        <w:rPr>
          <w:rFonts w:hint="eastAsia" w:ascii="仿宋" w:hAnsi="仿宋" w:eastAsia="仿宋" w:cs="仿宋"/>
          <w:b/>
          <w:color w:val="auto"/>
          <w:kern w:val="44"/>
          <w:sz w:val="40"/>
          <w:szCs w:val="40"/>
          <w:highlight w:val="none"/>
          <w:lang w:val="en-US" w:eastAsia="zh-CN" w:bidi="ar-SA"/>
        </w:rPr>
      </w:pPr>
      <w:r>
        <w:rPr>
          <w:rFonts w:hint="eastAsia" w:ascii="仿宋" w:hAnsi="仿宋" w:eastAsia="仿宋" w:cs="仿宋"/>
          <w:b/>
          <w:color w:val="auto"/>
          <w:kern w:val="44"/>
          <w:sz w:val="40"/>
          <w:szCs w:val="40"/>
          <w:highlight w:val="none"/>
          <w:lang w:val="en-US" w:eastAsia="zh-CN" w:bidi="ar-SA"/>
        </w:rPr>
        <w:t>拟签订采购合同文本</w:t>
      </w:r>
    </w:p>
    <w:p w14:paraId="70D1DA6F">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w:t>
      </w:r>
      <w:r>
        <w:rPr>
          <w:rFonts w:hint="eastAsia" w:ascii="仿宋_GB2312" w:hAnsi="仿宋_GB2312" w:eastAsia="仿宋_GB2312" w:cs="仿宋_GB2312"/>
          <w:sz w:val="28"/>
          <w:szCs w:val="28"/>
          <w:lang w:eastAsia="zh-CN"/>
        </w:rPr>
        <w:t>（采购人）</w:t>
      </w:r>
      <w:r>
        <w:rPr>
          <w:rFonts w:hint="eastAsia" w:ascii="仿宋_GB2312" w:hAnsi="仿宋_GB2312" w:eastAsia="仿宋_GB2312" w:cs="仿宋_GB2312"/>
          <w:sz w:val="28"/>
          <w:szCs w:val="28"/>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8"/>
          <w:szCs w:val="28"/>
        </w:rPr>
        <w:t xml:space="preserve">                                 </w:t>
      </w:r>
    </w:p>
    <w:p w14:paraId="31DBAFCC">
      <w:pPr>
        <w:adjustRightInd w:val="0"/>
        <w:snapToGrid w:val="0"/>
        <w:spacing w:line="360" w:lineRule="auto"/>
        <w:ind w:firstLine="66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地</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址：</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8"/>
          <w:szCs w:val="28"/>
        </w:rPr>
        <w:t xml:space="preserve">                                  </w:t>
      </w:r>
    </w:p>
    <w:p w14:paraId="1ACA206E">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成交供应商</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8"/>
          <w:szCs w:val="28"/>
        </w:rPr>
        <w:t xml:space="preserve">                               </w:t>
      </w:r>
    </w:p>
    <w:p w14:paraId="78771AB1">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地</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址：</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8"/>
          <w:szCs w:val="28"/>
        </w:rPr>
        <w:t xml:space="preserve">                                      </w:t>
      </w:r>
    </w:p>
    <w:p w14:paraId="73F13976">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根据《中华人民共和国</w:t>
      </w:r>
      <w:r>
        <w:rPr>
          <w:rFonts w:hint="eastAsia" w:ascii="仿宋_GB2312" w:hAnsi="仿宋_GB2312" w:eastAsia="仿宋_GB2312" w:cs="仿宋_GB2312"/>
          <w:sz w:val="28"/>
          <w:szCs w:val="28"/>
          <w:lang w:eastAsia="zh-CN"/>
        </w:rPr>
        <w:t>民法典</w:t>
      </w:r>
      <w:r>
        <w:rPr>
          <w:rFonts w:hint="eastAsia" w:ascii="仿宋_GB2312" w:hAnsi="仿宋_GB2312" w:eastAsia="仿宋_GB2312" w:cs="仿宋_GB2312"/>
          <w:sz w:val="28"/>
          <w:szCs w:val="28"/>
        </w:rPr>
        <w:t>》、《中华人民共和国建筑法》及《建筑工程质量管理条例》的原则，结合本工程实际情况，为明确甲乙双方的权利、义务和经济责任，经双方洽商达成如下协议。</w:t>
      </w:r>
    </w:p>
    <w:p w14:paraId="7012863C">
      <w:pPr>
        <w:adjustRightInd w:val="0"/>
        <w:snapToGrid w:val="0"/>
        <w:spacing w:line="360" w:lineRule="auto"/>
        <w:ind w:firstLine="660"/>
        <w:rPr>
          <w:rFonts w:hint="eastAsia" w:ascii="仿宋_GB2312" w:hAnsi="仿宋_GB2312" w:eastAsia="仿宋_GB2312" w:cs="仿宋_GB2312"/>
          <w:b/>
          <w:bCs/>
          <w:sz w:val="28"/>
          <w:szCs w:val="28"/>
          <w:lang w:val="zh-CN"/>
        </w:rPr>
      </w:pPr>
      <w:r>
        <w:rPr>
          <w:rFonts w:hint="eastAsia" w:ascii="仿宋_GB2312" w:hAnsi="仿宋_GB2312" w:eastAsia="仿宋_GB2312" w:cs="仿宋_GB2312"/>
          <w:b/>
          <w:bCs/>
          <w:sz w:val="28"/>
          <w:szCs w:val="28"/>
        </w:rPr>
        <w:t>一、</w:t>
      </w:r>
      <w:r>
        <w:rPr>
          <w:rFonts w:hint="eastAsia" w:ascii="仿宋_GB2312" w:hAnsi="仿宋_GB2312" w:eastAsia="仿宋_GB2312" w:cs="仿宋_GB2312"/>
          <w:b/>
          <w:bCs/>
          <w:sz w:val="28"/>
          <w:szCs w:val="28"/>
          <w:lang w:val="zh-CN"/>
        </w:rPr>
        <w:t>工程概况</w:t>
      </w:r>
    </w:p>
    <w:p w14:paraId="32FDA0FE">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1、工程地点：</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lang w:val="zh-CN"/>
        </w:rPr>
        <w:t xml:space="preserve">                        </w:t>
      </w:r>
    </w:p>
    <w:p w14:paraId="7B4E15C1">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2、工程范围及规模：</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lang w:val="zh-CN"/>
        </w:rPr>
        <w:t xml:space="preserve">                             </w:t>
      </w:r>
    </w:p>
    <w:p w14:paraId="16E2E366">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3、工程工期：</w:t>
      </w:r>
      <w:r>
        <w:rPr>
          <w:rFonts w:hint="eastAsia" w:ascii="仿宋_GB2312" w:hAnsi="仿宋_GB2312" w:eastAsia="仿宋_GB2312" w:cs="仿宋_GB2312"/>
          <w:sz w:val="28"/>
          <w:szCs w:val="28"/>
          <w:lang w:val="en-US" w:eastAsia="zh-CN"/>
        </w:rPr>
        <w:t>自合同签订之日起</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lang w:val="zh-CN"/>
        </w:rPr>
        <w:t>日历天。</w:t>
      </w:r>
    </w:p>
    <w:p w14:paraId="7F8CC9DF">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开工日期：</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lang w:val="zh-CN"/>
        </w:rPr>
        <w:t xml:space="preserve">  完工日期：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lang w:val="zh-CN"/>
        </w:rPr>
        <w:t xml:space="preserve">           </w:t>
      </w:r>
    </w:p>
    <w:p w14:paraId="2D0FFD30">
      <w:pPr>
        <w:adjustRightInd w:val="0"/>
        <w:snapToGrid w:val="0"/>
        <w:spacing w:line="360" w:lineRule="auto"/>
        <w:ind w:firstLine="66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eastAsia="zh-CN"/>
        </w:rPr>
        <w:t>二</w:t>
      </w:r>
      <w:r>
        <w:rPr>
          <w:rFonts w:hint="eastAsia" w:ascii="仿宋_GB2312" w:hAnsi="仿宋_GB2312" w:eastAsia="仿宋_GB2312" w:cs="仿宋_GB2312"/>
          <w:b/>
          <w:bCs/>
          <w:sz w:val="28"/>
          <w:szCs w:val="28"/>
        </w:rPr>
        <w:t>、承包方式及材料供应方式</w:t>
      </w:r>
    </w:p>
    <w:p w14:paraId="13D81E4B">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（一）承包方式：包工包料。</w:t>
      </w:r>
    </w:p>
    <w:p w14:paraId="17F354C1">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（二）材料供应方式：本工程所需材料由乙方采购的，所有进场材料必须符合产品质量及规范要求，并按规定进行材料复验，并能满足工程项目设计要求及有关行业特殊使用要求。</w:t>
      </w:r>
    </w:p>
    <w:p w14:paraId="3509C615">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（三）所有材料，成品，半成品均应有产品合格证及检验报告，须经现场甲方代表及监理工程师检查验收，报验合格方可进场，无质量证明文件的产品不得用于本项目工程。</w:t>
      </w:r>
    </w:p>
    <w:p w14:paraId="5008AE53">
      <w:pPr>
        <w:adjustRightInd w:val="0"/>
        <w:snapToGrid w:val="0"/>
        <w:spacing w:line="360" w:lineRule="auto"/>
        <w:ind w:firstLine="66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eastAsia="zh-CN"/>
        </w:rPr>
        <w:t>三</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eastAsia="zh-CN"/>
        </w:rPr>
        <w:t>合同</w:t>
      </w:r>
      <w:r>
        <w:rPr>
          <w:rFonts w:hint="eastAsia" w:ascii="仿宋_GB2312" w:hAnsi="仿宋_GB2312" w:eastAsia="仿宋_GB2312" w:cs="仿宋_GB2312"/>
          <w:b/>
          <w:bCs/>
          <w:sz w:val="28"/>
          <w:szCs w:val="28"/>
        </w:rPr>
        <w:t>价款</w:t>
      </w:r>
    </w:p>
    <w:p w14:paraId="529C8BAE">
      <w:pPr>
        <w:adjustRightInd w:val="0"/>
        <w:snapToGrid w:val="0"/>
        <w:spacing w:line="360" w:lineRule="auto"/>
        <w:ind w:firstLine="66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（一）合同</w:t>
      </w:r>
      <w:r>
        <w:rPr>
          <w:rFonts w:hint="eastAsia" w:ascii="仿宋_GB2312" w:hAnsi="仿宋_GB2312" w:eastAsia="仿宋_GB2312" w:cs="仿宋_GB2312"/>
          <w:sz w:val="28"/>
          <w:szCs w:val="28"/>
          <w:lang w:eastAsia="zh-CN"/>
        </w:rPr>
        <w:t>暂定价（</w:t>
      </w:r>
      <w:r>
        <w:rPr>
          <w:rFonts w:hint="eastAsia" w:ascii="仿宋_GB2312" w:hAnsi="仿宋_GB2312" w:eastAsia="仿宋_GB2312" w:cs="仿宋_GB2312"/>
          <w:sz w:val="28"/>
          <w:szCs w:val="28"/>
          <w:lang w:val="en-US" w:eastAsia="zh-CN"/>
        </w:rPr>
        <w:t>成交</w:t>
      </w:r>
      <w:r>
        <w:rPr>
          <w:rFonts w:hint="eastAsia" w:ascii="仿宋_GB2312" w:hAnsi="仿宋_GB2312" w:eastAsia="仿宋_GB2312" w:cs="仿宋_GB2312"/>
          <w:sz w:val="28"/>
          <w:szCs w:val="28"/>
          <w:lang w:eastAsia="zh-CN"/>
        </w:rPr>
        <w:t>金额）为</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元（人民币）</w:t>
      </w:r>
      <w:r>
        <w:rPr>
          <w:rFonts w:hint="eastAsia" w:ascii="仿宋_GB2312" w:hAnsi="仿宋_GB2312" w:eastAsia="仿宋_GB2312" w:cs="仿宋_GB2312"/>
          <w:sz w:val="28"/>
          <w:szCs w:val="28"/>
          <w:lang w:eastAsia="zh-CN"/>
        </w:rPr>
        <w:t>。</w:t>
      </w:r>
    </w:p>
    <w:p w14:paraId="2EDA0FDB">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（二）本合同单价为全费用综合单价，包括完成该工程项目的人工费、材料费、措施费、机械费</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直接费、间接费、利润、税金、保险费、其它费用以及合同明示或暗示的所有风险、责任和义务等全部费用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最终支付金额不超过项目预算。</w:t>
      </w:r>
    </w:p>
    <w:p w14:paraId="4AA41366">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合同单价按照成交确定的价格和合同中明确的工程范围，在工程实施过程中一次性包死。除此之外的工程范围和工程量的变动部分在征得甲方同意后实行现场签证，依照</w:t>
      </w:r>
      <w:r>
        <w:rPr>
          <w:rFonts w:hint="eastAsia" w:ascii="仿宋_GB2312" w:hAnsi="仿宋_GB2312" w:eastAsia="仿宋_GB2312" w:cs="仿宋_GB2312"/>
          <w:sz w:val="28"/>
          <w:szCs w:val="28"/>
          <w:lang w:val="en-US" w:eastAsia="zh-CN"/>
        </w:rPr>
        <w:t>投标</w:t>
      </w:r>
      <w:r>
        <w:rPr>
          <w:rFonts w:hint="eastAsia" w:ascii="仿宋_GB2312" w:hAnsi="仿宋_GB2312" w:eastAsia="仿宋_GB2312" w:cs="仿宋_GB2312"/>
          <w:sz w:val="28"/>
          <w:szCs w:val="28"/>
        </w:rPr>
        <w:t>报价增加或扣减</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最终支付金额以实际发生的工程量为准。</w:t>
      </w:r>
    </w:p>
    <w:p w14:paraId="7AB91490">
      <w:pPr>
        <w:adjustRightInd w:val="0"/>
        <w:snapToGrid w:val="0"/>
        <w:spacing w:line="360" w:lineRule="auto"/>
        <w:ind w:firstLine="66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eastAsia="zh-CN"/>
        </w:rPr>
        <w:t>四</w:t>
      </w:r>
      <w:r>
        <w:rPr>
          <w:rFonts w:hint="eastAsia" w:ascii="仿宋_GB2312" w:hAnsi="仿宋_GB2312" w:eastAsia="仿宋_GB2312" w:cs="仿宋_GB2312"/>
          <w:b/>
          <w:bCs/>
          <w:sz w:val="28"/>
          <w:szCs w:val="28"/>
        </w:rPr>
        <w:t>、付款方式</w:t>
      </w:r>
    </w:p>
    <w:p w14:paraId="1288F202">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（一）工程款支付：</w:t>
      </w:r>
    </w:p>
    <w:p w14:paraId="1537384D">
      <w:pPr>
        <w:adjustRightInd w:val="0"/>
        <w:snapToGrid w:val="0"/>
        <w:spacing w:line="360" w:lineRule="auto"/>
        <w:ind w:firstLine="6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1、自合同签订之日起 ，达到付款条件起7日内，支付合同总金额的40.00%。</w:t>
      </w:r>
    </w:p>
    <w:p w14:paraId="5E898EDD">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2、所有施工内容完成及验收合格，经审计部门审定后，达到付款条件起7日内，支付合同总金额的60.00%。</w:t>
      </w:r>
    </w:p>
    <w:p w14:paraId="5E3FA9E2">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二</w:t>
      </w:r>
      <w:r>
        <w:rPr>
          <w:rFonts w:hint="eastAsia" w:ascii="仿宋_GB2312" w:hAnsi="仿宋_GB2312" w:eastAsia="仿宋_GB2312" w:cs="仿宋_GB2312"/>
          <w:sz w:val="28"/>
          <w:szCs w:val="28"/>
        </w:rPr>
        <w:t>）结算方式：银行转账。</w:t>
      </w:r>
    </w:p>
    <w:p w14:paraId="5C23E614">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（三）</w:t>
      </w:r>
      <w:r>
        <w:rPr>
          <w:rFonts w:hint="eastAsia" w:ascii="仿宋_GB2312" w:hAnsi="仿宋_GB2312" w:eastAsia="仿宋_GB2312" w:cs="仿宋_GB2312"/>
          <w:sz w:val="28"/>
          <w:szCs w:val="28"/>
        </w:rPr>
        <w:t>付款方式：</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rPr>
        <w:t>应按照要求办理完所有手续后完成工程款结算并办理支付。每次支付前，</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rPr>
        <w:t>应提供符合</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rPr>
        <w:t>要求的等额增值税发票，否则</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rPr>
        <w:t>有权拒绝付款并不承担任何责任。</w:t>
      </w:r>
    </w:p>
    <w:p w14:paraId="5E400A40">
      <w:pPr>
        <w:adjustRightInd w:val="0"/>
        <w:snapToGrid w:val="0"/>
        <w:spacing w:line="360" w:lineRule="auto"/>
        <w:ind w:firstLine="660"/>
        <w:rPr>
          <w:rFonts w:hint="eastAsia" w:ascii="仿宋_GB2312" w:hAnsi="仿宋_GB2312" w:eastAsia="仿宋_GB2312" w:cs="仿宋_GB2312"/>
          <w:b/>
          <w:bCs/>
          <w:sz w:val="28"/>
          <w:szCs w:val="28"/>
          <w:lang w:val="zh-CN"/>
        </w:rPr>
      </w:pPr>
      <w:r>
        <w:rPr>
          <w:rFonts w:hint="eastAsia" w:ascii="仿宋_GB2312" w:hAnsi="仿宋_GB2312" w:eastAsia="仿宋_GB2312" w:cs="仿宋_GB2312"/>
          <w:b/>
          <w:bCs/>
          <w:sz w:val="28"/>
          <w:szCs w:val="28"/>
          <w:lang w:val="zh-CN"/>
        </w:rPr>
        <w:t>五、质量保证</w:t>
      </w:r>
    </w:p>
    <w:p w14:paraId="2FB0DCB4">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rPr>
        <w:t>（一）</w:t>
      </w:r>
      <w:r>
        <w:rPr>
          <w:rFonts w:hint="eastAsia" w:ascii="仿宋_GB2312" w:hAnsi="仿宋_GB2312" w:eastAsia="仿宋_GB2312" w:cs="仿宋_GB2312"/>
          <w:sz w:val="28"/>
          <w:szCs w:val="28"/>
          <w:lang w:val="zh-CN"/>
        </w:rPr>
        <w:t>所选材料及配套产品必须保证质量可靠、进货渠道正常，符合国家环保等相关标准，满足施工要求。</w:t>
      </w:r>
    </w:p>
    <w:p w14:paraId="4D37D148">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eastAsia="zh-CN"/>
        </w:rPr>
        <w:t>工程质量应当达到约定的质量标准，质量标准的评定以国家或行业的质量检验评定标准为依据。因</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eastAsia="zh-CN"/>
        </w:rPr>
        <w:t>原因</w:t>
      </w:r>
      <w:r>
        <w:rPr>
          <w:rFonts w:hint="eastAsia" w:ascii="仿宋_GB2312" w:hAnsi="仿宋_GB2312" w:eastAsia="仿宋_GB2312" w:cs="仿宋_GB2312"/>
          <w:sz w:val="28"/>
          <w:szCs w:val="28"/>
          <w:lang w:val="en-US" w:eastAsia="zh-CN"/>
        </w:rPr>
        <w:t>导致</w:t>
      </w:r>
      <w:r>
        <w:rPr>
          <w:rFonts w:hint="eastAsia" w:ascii="仿宋_GB2312" w:hAnsi="仿宋_GB2312" w:eastAsia="仿宋_GB2312" w:cs="仿宋_GB2312"/>
          <w:sz w:val="28"/>
          <w:szCs w:val="28"/>
          <w:lang w:eastAsia="zh-CN"/>
        </w:rPr>
        <w:t>工程质量达不到约定的质量标准，</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eastAsia="zh-CN"/>
        </w:rPr>
        <w:t>承担违约责任</w:t>
      </w:r>
      <w:r>
        <w:rPr>
          <w:rFonts w:hint="eastAsia" w:ascii="仿宋_GB2312" w:hAnsi="仿宋_GB2312" w:eastAsia="仿宋_GB2312" w:cs="仿宋_GB2312"/>
          <w:sz w:val="28"/>
          <w:szCs w:val="28"/>
          <w:lang w:val="en-US" w:eastAsia="zh-CN"/>
        </w:rPr>
        <w:t>。</w:t>
      </w:r>
    </w:p>
    <w:p w14:paraId="78455296">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val="zh-CN"/>
        </w:rPr>
        <w:t>）</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val="zh-CN" w:eastAsia="zh-CN"/>
        </w:rPr>
        <w:t>在质保期内应无偿负责所承包工程的维修和替换等工作。超出质保期收取人工及材料成本费用。</w:t>
      </w:r>
    </w:p>
    <w:p w14:paraId="70E2C4FD">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en-US" w:eastAsia="zh-CN"/>
        </w:rPr>
        <w:t>（四）效率：按时保质保量完成采购合同规定的全部工程内容</w:t>
      </w:r>
      <w:r>
        <w:rPr>
          <w:rFonts w:hint="eastAsia" w:ascii="仿宋_GB2312" w:hAnsi="仿宋_GB2312" w:eastAsia="仿宋_GB2312" w:cs="仿宋_GB2312"/>
          <w:sz w:val="28"/>
          <w:szCs w:val="28"/>
          <w:lang w:val="zh-CN"/>
        </w:rPr>
        <w:t>。</w:t>
      </w:r>
    </w:p>
    <w:p w14:paraId="67574A39">
      <w:pPr>
        <w:adjustRightInd w:val="0"/>
        <w:snapToGrid w:val="0"/>
        <w:spacing w:line="360" w:lineRule="auto"/>
        <w:ind w:firstLine="66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eastAsia="zh-CN"/>
        </w:rPr>
        <w:t>六</w:t>
      </w:r>
      <w:r>
        <w:rPr>
          <w:rFonts w:hint="eastAsia" w:ascii="仿宋_GB2312" w:hAnsi="仿宋_GB2312" w:eastAsia="仿宋_GB2312" w:cs="仿宋_GB2312"/>
          <w:b/>
          <w:bCs/>
          <w:sz w:val="28"/>
          <w:szCs w:val="28"/>
        </w:rPr>
        <w:t>、双方责任</w:t>
      </w:r>
    </w:p>
    <w:p w14:paraId="28F34841">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（一）甲方责任：</w:t>
      </w:r>
    </w:p>
    <w:p w14:paraId="204EF3CF">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甲方负责施工场地的提供，排除施工障碍的协调。</w:t>
      </w:r>
    </w:p>
    <w:p w14:paraId="65298A7D">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组织设计、施工单位进行图纸交底，负责设计图纸问题的处理，设计变更及现场签证，工程结算的审定等工作。</w:t>
      </w:r>
    </w:p>
    <w:p w14:paraId="570EFF4D">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对工程进度、质量进行监督检查。</w:t>
      </w:r>
    </w:p>
    <w:p w14:paraId="75BDCD8D">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组织有关单位对工程进行竣工验收。</w:t>
      </w:r>
    </w:p>
    <w:p w14:paraId="1CEF5D0E">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按时支付工程款。</w:t>
      </w:r>
    </w:p>
    <w:p w14:paraId="371E312A">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（二）乙方责任：</w:t>
      </w:r>
    </w:p>
    <w:p w14:paraId="41B119F0">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负责办理完成项目使用审批手续，负责工程安全文明施工、承担一切风险，满足甲方工程的需要。保证甲方正式投入使用，再无其他费用发生。</w:t>
      </w:r>
    </w:p>
    <w:p w14:paraId="170C7AAF">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乙方进入甲方要求场地施工，应服从当地对治安、卫生、环保、社会保险等工程建设的统一管理，并按有关规定</w:t>
      </w:r>
      <w:r>
        <w:rPr>
          <w:rFonts w:hint="eastAsia" w:ascii="仿宋_GB2312" w:hAnsi="仿宋_GB2312" w:eastAsia="仿宋_GB2312" w:cs="仿宋_GB2312"/>
          <w:sz w:val="28"/>
          <w:szCs w:val="28"/>
          <w:lang w:eastAsia="zh-CN"/>
        </w:rPr>
        <w:t>缴纳</w:t>
      </w:r>
      <w:r>
        <w:rPr>
          <w:rFonts w:hint="eastAsia" w:ascii="仿宋_GB2312" w:hAnsi="仿宋_GB2312" w:eastAsia="仿宋_GB2312" w:cs="仿宋_GB2312"/>
          <w:sz w:val="28"/>
          <w:szCs w:val="28"/>
        </w:rPr>
        <w:t>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72472B0D">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778D74D9">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隐蔽工程在覆盖前必须经甲方代表或现场监理代表验收签章后，方可进行下一道工序。</w:t>
      </w:r>
    </w:p>
    <w:p w14:paraId="39543731">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732C6163">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采取有效的安全保障措施，确保施工安全，包括悬挂警示标牌、装设围栏、配备安全人员等，并承担事故的全部费用和责任。</w:t>
      </w:r>
    </w:p>
    <w:p w14:paraId="53243B9F">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工程竣工后提供竣工验收技术资料及竣工图肆套，办理工程竣工结算手续，参加工程竣工验收。</w:t>
      </w:r>
    </w:p>
    <w:p w14:paraId="4F5133C3">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已完工的项目，在交工前乙方应负责保管，清理现场达到建筑物无污染，现场无建筑垃圾。</w:t>
      </w:r>
    </w:p>
    <w:p w14:paraId="080F295E">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乙方应在设备运行过程中，对安全隐患进行全面的不定期检查与维护，并对不按安全规程操作的施工单位及时制止，并报甲方进行处理。</w:t>
      </w:r>
    </w:p>
    <w:p w14:paraId="336E61BA">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乙方不能按合同规定的工期竣工的，应向甲方支付违约金，每逾期一日，支付合同总价款万分之二的违约金，造成甲方损失的，还应赔偿甲方损失。</w:t>
      </w:r>
    </w:p>
    <w:p w14:paraId="5BC6868D">
      <w:pPr>
        <w:adjustRightInd w:val="0"/>
        <w:snapToGrid w:val="0"/>
        <w:spacing w:line="360" w:lineRule="auto"/>
        <w:ind w:firstLine="660"/>
        <w:rPr>
          <w:rFonts w:hint="eastAsia" w:ascii="仿宋_GB2312" w:hAnsi="仿宋_GB2312" w:eastAsia="仿宋_GB2312" w:cs="仿宋_GB2312"/>
          <w:b/>
          <w:bCs/>
          <w:sz w:val="28"/>
          <w:szCs w:val="28"/>
          <w:lang w:val="zh-CN" w:eastAsia="zh-CN"/>
        </w:rPr>
      </w:pPr>
      <w:r>
        <w:rPr>
          <w:rFonts w:hint="eastAsia" w:ascii="仿宋_GB2312" w:hAnsi="仿宋_GB2312" w:eastAsia="仿宋_GB2312" w:cs="仿宋_GB2312"/>
          <w:b/>
          <w:bCs/>
          <w:sz w:val="28"/>
          <w:szCs w:val="28"/>
          <w:lang w:val="zh-CN"/>
        </w:rPr>
        <w:t>七、</w:t>
      </w:r>
      <w:r>
        <w:rPr>
          <w:rFonts w:hint="eastAsia" w:ascii="仿宋_GB2312" w:hAnsi="仿宋_GB2312" w:eastAsia="仿宋_GB2312" w:cs="仿宋_GB2312"/>
          <w:b/>
          <w:bCs/>
          <w:sz w:val="28"/>
          <w:szCs w:val="28"/>
          <w:lang w:val="en-US" w:eastAsia="zh-CN"/>
        </w:rPr>
        <w:t>违约责任</w:t>
      </w:r>
    </w:p>
    <w:p w14:paraId="2E40EF3B">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lang w:val="zh-CN"/>
        </w:rPr>
        <w:t>）</w:t>
      </w:r>
      <w:r>
        <w:rPr>
          <w:rFonts w:hint="eastAsia" w:ascii="仿宋_GB2312" w:hAnsi="仿宋_GB2312" w:eastAsia="仿宋_GB2312" w:cs="仿宋_GB2312"/>
          <w:sz w:val="28"/>
          <w:szCs w:val="28"/>
          <w:lang w:val="en-US" w:eastAsia="zh-CN"/>
        </w:rPr>
        <w:t>甲方违约责任</w:t>
      </w:r>
    </w:p>
    <w:p w14:paraId="05F40385">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lang w:val="zh-CN"/>
        </w:rPr>
        <w:t>未履行本合同义务的，应承担相应的责任。</w:t>
      </w:r>
    </w:p>
    <w:p w14:paraId="59178999">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en-US" w:eastAsia="zh-CN"/>
        </w:rPr>
        <w:t>1、甲方</w:t>
      </w:r>
      <w:r>
        <w:rPr>
          <w:rFonts w:hint="eastAsia" w:ascii="仿宋_GB2312" w:hAnsi="仿宋_GB2312" w:eastAsia="仿宋_GB2312" w:cs="仿宋_GB2312"/>
          <w:sz w:val="28"/>
          <w:szCs w:val="28"/>
          <w:lang w:val="zh-CN"/>
        </w:rPr>
        <w:t>违反本合同约定造成</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val="zh-CN"/>
        </w:rPr>
        <w:t>损失的，</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lang w:val="zh-CN"/>
        </w:rPr>
        <w:t>应予以赔偿。</w:t>
      </w:r>
    </w:p>
    <w:p w14:paraId="3A07D72D">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en-US" w:eastAsia="zh-CN"/>
        </w:rPr>
        <w:t>2、甲方</w:t>
      </w:r>
      <w:r>
        <w:rPr>
          <w:rFonts w:hint="eastAsia" w:ascii="仿宋_GB2312" w:hAnsi="仿宋_GB2312" w:eastAsia="仿宋_GB2312" w:cs="仿宋_GB2312"/>
          <w:sz w:val="28"/>
          <w:szCs w:val="28"/>
          <w:lang w:val="zh-CN"/>
        </w:rPr>
        <w:t>向</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val="zh-CN"/>
        </w:rPr>
        <w:t>的索赔不成立时，应赔偿</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val="zh-CN"/>
        </w:rPr>
        <w:t>由此引起的费用。</w:t>
      </w:r>
    </w:p>
    <w:p w14:paraId="21B57B3A">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en-US" w:eastAsia="zh-CN"/>
        </w:rPr>
        <w:t>3、甲方</w:t>
      </w:r>
      <w:r>
        <w:rPr>
          <w:rFonts w:hint="eastAsia" w:ascii="仿宋_GB2312" w:hAnsi="仿宋_GB2312" w:eastAsia="仿宋_GB2312" w:cs="仿宋_GB2312"/>
          <w:sz w:val="28"/>
          <w:szCs w:val="28"/>
          <w:lang w:val="zh-CN"/>
        </w:rPr>
        <w:t>未能按期支付酬金超过28天，应按专用条件约定支付逾期付款利息。</w:t>
      </w:r>
    </w:p>
    <w:p w14:paraId="0C41F507">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lang w:val="zh-CN"/>
        </w:rPr>
        <w:t>）</w:t>
      </w:r>
      <w:r>
        <w:rPr>
          <w:rFonts w:hint="eastAsia" w:ascii="仿宋_GB2312" w:hAnsi="仿宋_GB2312" w:eastAsia="仿宋_GB2312" w:cs="仿宋_GB2312"/>
          <w:sz w:val="28"/>
          <w:szCs w:val="28"/>
          <w:lang w:val="en-US" w:eastAsia="zh-CN"/>
        </w:rPr>
        <w:t>甲方违约责任</w:t>
      </w:r>
    </w:p>
    <w:p w14:paraId="4BB0E1F1">
      <w:pPr>
        <w:adjustRightInd w:val="0"/>
        <w:snapToGrid w:val="0"/>
        <w:spacing w:line="360" w:lineRule="auto"/>
        <w:ind w:firstLine="660"/>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val="zh-CN" w:eastAsia="zh-CN"/>
        </w:rPr>
        <w:t>本工程要求工程质量标准需达到国家、省市或相关行业规范“合格”标准要求，竣工验收达不到合格标准的，除按国家规定对供应商予以处罚外，</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val="zh-CN" w:eastAsia="zh-CN"/>
        </w:rPr>
        <w:t>应无条件的返工直到工程合格为止，费用由</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val="zh-CN" w:eastAsia="zh-CN"/>
        </w:rPr>
        <w:t>承担。因质量问题给</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lang w:val="zh-CN" w:eastAsia="zh-CN"/>
        </w:rPr>
        <w:t>造成的经济及名誉等一系列损失，由</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val="zh-CN" w:eastAsia="zh-CN"/>
        </w:rPr>
        <w:t>承担相应费用。</w:t>
      </w:r>
    </w:p>
    <w:p w14:paraId="2ED8AE08">
      <w:pPr>
        <w:adjustRightInd w:val="0"/>
        <w:snapToGrid w:val="0"/>
        <w:spacing w:line="360" w:lineRule="auto"/>
        <w:ind w:firstLine="660"/>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en-US" w:eastAsia="zh-CN"/>
        </w:rPr>
        <w:t>2、乙方</w:t>
      </w:r>
      <w:r>
        <w:rPr>
          <w:rFonts w:hint="eastAsia" w:ascii="仿宋_GB2312" w:hAnsi="仿宋_GB2312" w:eastAsia="仿宋_GB2312" w:cs="仿宋_GB2312"/>
          <w:sz w:val="28"/>
          <w:szCs w:val="28"/>
          <w:lang w:val="zh-CN" w:eastAsia="zh-CN"/>
        </w:rPr>
        <w:t>将工程转包的，</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lang w:val="zh-CN" w:eastAsia="zh-CN"/>
        </w:rPr>
        <w:t>有权解除本合同，</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val="zh-CN" w:eastAsia="zh-CN"/>
        </w:rPr>
        <w:t>向</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lang w:val="zh-CN" w:eastAsia="zh-CN"/>
        </w:rPr>
        <w:t>支付合同价款10%的违约金。</w:t>
      </w:r>
    </w:p>
    <w:p w14:paraId="27DA1E09">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en-US" w:eastAsia="zh-CN"/>
        </w:rPr>
        <w:t>3、甲方</w:t>
      </w:r>
      <w:r>
        <w:rPr>
          <w:rFonts w:hint="eastAsia" w:ascii="仿宋_GB2312" w:hAnsi="仿宋_GB2312" w:eastAsia="仿宋_GB2312" w:cs="仿宋_GB2312"/>
          <w:sz w:val="28"/>
          <w:szCs w:val="28"/>
          <w:lang w:val="zh-CN" w:eastAsia="zh-CN"/>
        </w:rPr>
        <w:t>有权对</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val="zh-CN" w:eastAsia="zh-CN"/>
        </w:rPr>
        <w:t>不称职或不接受管理的人员进行处罚或驱逐出场。在</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val="zh-CN" w:eastAsia="zh-CN"/>
        </w:rPr>
        <w:t>发出要求更换不合格或不称职人员指令后，</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val="zh-CN" w:eastAsia="zh-CN"/>
        </w:rPr>
        <w:t>须及时更换合格人员，逾期未到岗视为</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val="zh-CN" w:eastAsia="zh-CN"/>
        </w:rPr>
        <w:t>违约，给</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lang w:val="zh-CN" w:eastAsia="zh-CN"/>
        </w:rPr>
        <w:t>造成的经济及名誉等一系列损失，由</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val="zh-CN" w:eastAsia="zh-CN"/>
        </w:rPr>
        <w:t>承担相应费用。</w:t>
      </w:r>
    </w:p>
    <w:p w14:paraId="6D29381F">
      <w:pPr>
        <w:adjustRightInd w:val="0"/>
        <w:snapToGrid w:val="0"/>
        <w:spacing w:line="360" w:lineRule="auto"/>
        <w:ind w:firstLine="660"/>
        <w:rPr>
          <w:rFonts w:hint="eastAsia" w:ascii="仿宋_GB2312" w:hAnsi="仿宋_GB2312" w:eastAsia="仿宋_GB2312" w:cs="仿宋_GB2312"/>
          <w:b/>
          <w:bCs/>
          <w:sz w:val="28"/>
          <w:szCs w:val="28"/>
          <w:lang w:val="zh-CN"/>
        </w:rPr>
      </w:pPr>
      <w:r>
        <w:rPr>
          <w:rFonts w:hint="eastAsia" w:ascii="仿宋_GB2312" w:hAnsi="仿宋_GB2312" w:eastAsia="仿宋_GB2312" w:cs="仿宋_GB2312"/>
          <w:b/>
          <w:bCs/>
          <w:sz w:val="28"/>
          <w:szCs w:val="28"/>
          <w:lang w:val="en-US" w:eastAsia="zh-CN"/>
        </w:rPr>
        <w:t>八</w:t>
      </w:r>
      <w:r>
        <w:rPr>
          <w:rFonts w:hint="eastAsia" w:ascii="仿宋_GB2312" w:hAnsi="仿宋_GB2312" w:eastAsia="仿宋_GB2312" w:cs="仿宋_GB2312"/>
          <w:b/>
          <w:bCs/>
          <w:sz w:val="28"/>
          <w:szCs w:val="28"/>
          <w:lang w:val="zh-CN"/>
        </w:rPr>
        <w:t>、验收</w:t>
      </w:r>
    </w:p>
    <w:p w14:paraId="3C607804">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rPr>
        <w:t>（一）</w:t>
      </w:r>
      <w:r>
        <w:rPr>
          <w:rFonts w:hint="eastAsia" w:ascii="仿宋_GB2312" w:hAnsi="仿宋_GB2312" w:eastAsia="仿宋_GB2312" w:cs="仿宋_GB2312"/>
          <w:sz w:val="28"/>
          <w:szCs w:val="28"/>
          <w:lang w:val="zh-CN"/>
        </w:rPr>
        <w:t>主材到现场后，由甲方对其进行验收，确认材料的产地、规格、数量。</w:t>
      </w:r>
    </w:p>
    <w:p w14:paraId="369D9CB0">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val="zh-CN"/>
        </w:rPr>
        <w:t>乙方工程完工后，进行自检，</w:t>
      </w:r>
      <w:r>
        <w:rPr>
          <w:rFonts w:hint="eastAsia" w:ascii="仿宋_GB2312" w:hAnsi="仿宋_GB2312" w:eastAsia="仿宋_GB2312" w:cs="仿宋_GB2312"/>
          <w:sz w:val="28"/>
          <w:szCs w:val="28"/>
          <w:lang w:val="en-US" w:eastAsia="zh-CN"/>
        </w:rPr>
        <w:t>出现问题限期整改，</w:t>
      </w:r>
      <w:r>
        <w:rPr>
          <w:rFonts w:hint="eastAsia" w:ascii="仿宋_GB2312" w:hAnsi="仿宋_GB2312" w:eastAsia="仿宋_GB2312" w:cs="仿宋_GB2312"/>
          <w:sz w:val="28"/>
          <w:szCs w:val="28"/>
          <w:lang w:val="zh-CN"/>
        </w:rPr>
        <w:t>合格后准备验收文件，并书面通知甲方。</w:t>
      </w:r>
    </w:p>
    <w:p w14:paraId="08789674">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rPr>
        <w:t>（三）</w:t>
      </w:r>
      <w:r>
        <w:rPr>
          <w:rFonts w:hint="eastAsia" w:ascii="仿宋_GB2312" w:hAnsi="仿宋_GB2312" w:eastAsia="仿宋_GB2312" w:cs="仿宋_GB2312"/>
          <w:sz w:val="28"/>
          <w:szCs w:val="28"/>
          <w:lang w:val="zh-CN"/>
        </w:rPr>
        <w:t>甲方确认乙方的自检内容，</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eastAsia="zh-CN"/>
        </w:rPr>
        <w:t>提出验收申请，</w:t>
      </w:r>
      <w:r>
        <w:rPr>
          <w:rFonts w:hint="eastAsia" w:ascii="仿宋_GB2312" w:hAnsi="仿宋_GB2312" w:eastAsia="仿宋_GB2312" w:cs="仿宋_GB2312"/>
          <w:sz w:val="28"/>
          <w:szCs w:val="28"/>
          <w:lang w:val="zh-CN"/>
        </w:rPr>
        <w:t>甲方</w:t>
      </w:r>
      <w:r>
        <w:rPr>
          <w:rFonts w:hint="eastAsia" w:ascii="仿宋_GB2312" w:hAnsi="仿宋_GB2312" w:eastAsia="仿宋_GB2312" w:cs="仿宋_GB2312"/>
          <w:sz w:val="28"/>
          <w:szCs w:val="28"/>
          <w:lang w:eastAsia="zh-CN"/>
        </w:rPr>
        <w:t>及时组织验收，验收合格后出具验收报告</w:t>
      </w:r>
      <w:r>
        <w:rPr>
          <w:rFonts w:hint="eastAsia" w:ascii="仿宋_GB2312" w:hAnsi="仿宋_GB2312" w:eastAsia="仿宋_GB2312" w:cs="仿宋_GB2312"/>
          <w:sz w:val="28"/>
          <w:szCs w:val="28"/>
          <w:lang w:val="zh-CN"/>
        </w:rPr>
        <w:t>。</w:t>
      </w:r>
    </w:p>
    <w:p w14:paraId="79E6BBF4">
      <w:pPr>
        <w:adjustRightInd w:val="0"/>
        <w:snapToGrid w:val="0"/>
        <w:spacing w:line="360" w:lineRule="auto"/>
        <w:ind w:firstLine="66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（四）验收标准</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执行国家、省或行业现行的工程建设质量验收标准及规范，须达到合格标准</w:t>
      </w:r>
      <w:r>
        <w:rPr>
          <w:rFonts w:hint="eastAsia" w:ascii="仿宋_GB2312" w:hAnsi="仿宋_GB2312" w:eastAsia="仿宋_GB2312" w:cs="仿宋_GB2312"/>
          <w:sz w:val="28"/>
          <w:szCs w:val="28"/>
          <w:lang w:eastAsia="zh-CN"/>
        </w:rPr>
        <w:t>。</w:t>
      </w:r>
    </w:p>
    <w:p w14:paraId="253D1BFF">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lang w:val="zh-CN"/>
        </w:rPr>
        <w:t>）验收依据：</w:t>
      </w:r>
    </w:p>
    <w:p w14:paraId="2D68D2A9">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1、合同、</w:t>
      </w:r>
      <w:r>
        <w:rPr>
          <w:rFonts w:hint="eastAsia" w:ascii="仿宋_GB2312" w:hAnsi="仿宋_GB2312" w:eastAsia="仿宋_GB2312" w:cs="仿宋_GB2312"/>
          <w:sz w:val="28"/>
          <w:szCs w:val="28"/>
          <w:lang w:val="en-US" w:eastAsia="zh-CN"/>
        </w:rPr>
        <w:t>磋商</w:t>
      </w:r>
      <w:r>
        <w:rPr>
          <w:rFonts w:hint="eastAsia" w:ascii="仿宋_GB2312" w:hAnsi="仿宋_GB2312" w:eastAsia="仿宋_GB2312" w:cs="仿宋_GB2312"/>
          <w:sz w:val="28"/>
          <w:szCs w:val="28"/>
          <w:lang w:val="zh-CN"/>
        </w:rPr>
        <w:t>文件、</w:t>
      </w:r>
      <w:r>
        <w:rPr>
          <w:rFonts w:hint="eastAsia" w:ascii="仿宋_GB2312" w:hAnsi="仿宋_GB2312" w:eastAsia="仿宋_GB2312" w:cs="仿宋_GB2312"/>
          <w:sz w:val="28"/>
          <w:szCs w:val="28"/>
          <w:lang w:val="en-US" w:eastAsia="zh-CN"/>
        </w:rPr>
        <w:t>响应</w:t>
      </w:r>
      <w:r>
        <w:rPr>
          <w:rFonts w:hint="eastAsia" w:ascii="仿宋_GB2312" w:hAnsi="仿宋_GB2312" w:eastAsia="仿宋_GB2312" w:cs="仿宋_GB2312"/>
          <w:sz w:val="28"/>
          <w:szCs w:val="28"/>
          <w:lang w:val="zh-CN"/>
        </w:rPr>
        <w:t>文件及承诺。</w:t>
      </w:r>
    </w:p>
    <w:p w14:paraId="1BE35961">
      <w:pPr>
        <w:adjustRightInd w:val="0"/>
        <w:snapToGrid w:val="0"/>
        <w:spacing w:line="360" w:lineRule="auto"/>
        <w:ind w:firstLine="66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2、国家相关</w:t>
      </w:r>
      <w:r>
        <w:rPr>
          <w:rFonts w:hint="eastAsia" w:ascii="仿宋_GB2312" w:hAnsi="仿宋_GB2312" w:eastAsia="仿宋_GB2312" w:cs="仿宋_GB2312"/>
          <w:sz w:val="28"/>
          <w:szCs w:val="28"/>
        </w:rPr>
        <w:t>标准、规范及有关技术文件</w:t>
      </w:r>
      <w:r>
        <w:rPr>
          <w:rFonts w:hint="eastAsia" w:ascii="仿宋_GB2312" w:hAnsi="仿宋_GB2312" w:eastAsia="仿宋_GB2312" w:cs="仿宋_GB2312"/>
          <w:sz w:val="28"/>
          <w:szCs w:val="28"/>
          <w:lang w:val="zh-CN"/>
        </w:rPr>
        <w:t>。</w:t>
      </w:r>
    </w:p>
    <w:p w14:paraId="5615F22E">
      <w:pPr>
        <w:adjustRightInd w:val="0"/>
        <w:snapToGrid w:val="0"/>
        <w:spacing w:line="360" w:lineRule="auto"/>
        <w:ind w:firstLine="66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九</w:t>
      </w:r>
      <w:r>
        <w:rPr>
          <w:rFonts w:hint="eastAsia" w:ascii="仿宋_GB2312" w:hAnsi="仿宋_GB2312" w:eastAsia="仿宋_GB2312" w:cs="仿宋_GB2312"/>
          <w:b/>
          <w:bCs/>
          <w:sz w:val="28"/>
          <w:szCs w:val="28"/>
        </w:rPr>
        <w:t>、工程保修</w:t>
      </w:r>
    </w:p>
    <w:p w14:paraId="2960AF30">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本项目</w:t>
      </w:r>
      <w:r>
        <w:rPr>
          <w:rFonts w:hint="eastAsia" w:ascii="仿宋_GB2312" w:hAnsi="仿宋_GB2312" w:eastAsia="仿宋_GB2312" w:cs="仿宋_GB2312"/>
          <w:sz w:val="28"/>
          <w:szCs w:val="28"/>
          <w:lang w:val="en-US" w:eastAsia="zh-CN"/>
        </w:rPr>
        <w:t>工程质量保修期从通过最终验收之日起算，装饰装修工程：2年，防水工程：5年。</w:t>
      </w:r>
    </w:p>
    <w:p w14:paraId="0FD2B309">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本项目保修期</w:t>
      </w:r>
      <w:r>
        <w:rPr>
          <w:rFonts w:hint="eastAsia" w:ascii="仿宋_GB2312" w:hAnsi="仿宋_GB2312" w:eastAsia="仿宋_GB2312" w:cs="仿宋_GB2312"/>
          <w:sz w:val="28"/>
          <w:szCs w:val="28"/>
          <w:lang w:val="zh-CN"/>
        </w:rPr>
        <w:t>根据《建设工程质量管理条例》及有关规定执行。</w:t>
      </w:r>
      <w:r>
        <w:rPr>
          <w:rFonts w:hint="eastAsia" w:ascii="仿宋_GB2312" w:hAnsi="仿宋_GB2312" w:eastAsia="仿宋_GB2312" w:cs="仿宋_GB2312"/>
          <w:sz w:val="28"/>
          <w:szCs w:val="28"/>
        </w:rPr>
        <w:t>在保修期限内，对甲方提出的有关维修、维护要求，乙方应在24小时内予以解决。乙方未能按时予以维修、维护的，甲方可另行委托第三方进行，因此而产生的费用由乙方承担，甲方有权从质保金中直接扣除，不足部分由乙方支付，乙方不得提出任何异议，给甲方造成损失的，乙方须给予赔偿。</w:t>
      </w:r>
    </w:p>
    <w:p w14:paraId="708FF181">
      <w:pPr>
        <w:adjustRightInd w:val="0"/>
        <w:snapToGrid w:val="0"/>
        <w:spacing w:line="360" w:lineRule="auto"/>
        <w:ind w:firstLine="66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十</w:t>
      </w:r>
      <w:r>
        <w:rPr>
          <w:rFonts w:hint="eastAsia" w:ascii="仿宋_GB2312" w:hAnsi="仿宋_GB2312" w:eastAsia="仿宋_GB2312" w:cs="仿宋_GB2312"/>
          <w:b/>
          <w:bCs/>
          <w:sz w:val="28"/>
          <w:szCs w:val="28"/>
        </w:rPr>
        <w:t>、争议的解决方式</w:t>
      </w:r>
    </w:p>
    <w:p w14:paraId="21B517C8">
      <w:pPr>
        <w:adjustRightInd w:val="0"/>
        <w:snapToGrid w:val="0"/>
        <w:spacing w:line="360" w:lineRule="auto"/>
        <w:ind w:firstLine="6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（一）甲乙双方就合同条款的解释或执行以及与项目密切相关的事项发生争议，应在7个工作日内友好协商解决，协商不成，诉讼至甲方所在地人民法院解决。</w:t>
      </w:r>
    </w:p>
    <w:p w14:paraId="28B3180D">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（二）因质量问题发生的争议，由国家权威技术单位进行质量鉴定，该鉴定结论是终局的，甲乙双方应当接受双方应本着诚信原则协商解决彼此间的争议。</w:t>
      </w:r>
    </w:p>
    <w:p w14:paraId="07D851F6">
      <w:pPr>
        <w:adjustRightInd w:val="0"/>
        <w:snapToGrid w:val="0"/>
        <w:spacing w:line="360" w:lineRule="auto"/>
        <w:ind w:firstLine="66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w:t>
      </w:r>
      <w:r>
        <w:rPr>
          <w:rFonts w:hint="eastAsia" w:ascii="仿宋_GB2312" w:hAnsi="仿宋_GB2312" w:eastAsia="仿宋_GB2312" w:cs="仿宋_GB2312"/>
          <w:b/>
          <w:bCs/>
          <w:sz w:val="28"/>
          <w:szCs w:val="28"/>
          <w:lang w:val="en-US" w:eastAsia="zh-CN"/>
        </w:rPr>
        <w:t>一</w:t>
      </w:r>
      <w:r>
        <w:rPr>
          <w:rFonts w:hint="eastAsia" w:ascii="仿宋_GB2312" w:hAnsi="仿宋_GB2312" w:eastAsia="仿宋_GB2312" w:cs="仿宋_GB2312"/>
          <w:b/>
          <w:bCs/>
          <w:sz w:val="28"/>
          <w:szCs w:val="28"/>
        </w:rPr>
        <w:t>、其他</w:t>
      </w:r>
    </w:p>
    <w:p w14:paraId="5C10E8A9">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(一)实际签订合同时，以《建设工程施工合同（示范文本）》（GF-2017-0201）为基础，按采购监管部门相关要求确定施工承包合同最终文本和格式；其实质条款和内容须与本项目招标及投标文件一致。</w:t>
      </w:r>
    </w:p>
    <w:p w14:paraId="53FAF0A1">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(二)本合同未定事宜，双方可根据具体情况结合有关规定另行签订补充协议，补充协议与本合同具有同等法律效力。</w:t>
      </w:r>
    </w:p>
    <w:p w14:paraId="43AF2EF8">
      <w:pPr>
        <w:adjustRightInd w:val="0"/>
        <w:snapToGrid w:val="0"/>
        <w:spacing w:line="360" w:lineRule="auto"/>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十</w:t>
      </w:r>
      <w:r>
        <w:rPr>
          <w:rFonts w:hint="eastAsia" w:ascii="仿宋_GB2312" w:hAnsi="仿宋_GB2312" w:eastAsia="仿宋_GB2312" w:cs="仿宋_GB2312"/>
          <w:b/>
          <w:bCs/>
          <w:color w:val="000000"/>
          <w:sz w:val="28"/>
          <w:szCs w:val="28"/>
          <w:lang w:val="en-US" w:eastAsia="zh-CN"/>
        </w:rPr>
        <w:t>二</w:t>
      </w:r>
      <w:r>
        <w:rPr>
          <w:rFonts w:hint="eastAsia" w:ascii="仿宋_GB2312" w:hAnsi="仿宋_GB2312" w:eastAsia="仿宋_GB2312" w:cs="仿宋_GB2312"/>
          <w:b/>
          <w:bCs/>
          <w:color w:val="000000"/>
          <w:sz w:val="28"/>
          <w:szCs w:val="28"/>
        </w:rPr>
        <w:t>、附则</w:t>
      </w:r>
    </w:p>
    <w:p w14:paraId="2CDF3952">
      <w:pPr>
        <w:tabs>
          <w:tab w:val="left" w:pos="0"/>
        </w:tabs>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（一）本合同一式</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份，正本</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份，甲、乙方各执</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份，副本</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份，甲方执</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份，乙方执</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份。</w:t>
      </w:r>
    </w:p>
    <w:p w14:paraId="3C9327F7">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（二）合同经双方盖章后生效，各条款执行完毕后终止。</w:t>
      </w:r>
    </w:p>
    <w:p w14:paraId="4DF4163C">
      <w:pPr>
        <w:spacing w:line="276" w:lineRule="auto"/>
        <w:ind w:firstLine="560" w:firstLineChars="200"/>
        <w:rPr>
          <w:rFonts w:hint="eastAsia" w:ascii="仿宋_GB2312" w:hAnsi="仿宋_GB2312" w:eastAsia="仿宋_GB2312" w:cs="仿宋_GB2312"/>
          <w:sz w:val="28"/>
          <w:szCs w:val="28"/>
        </w:rPr>
      </w:pPr>
    </w:p>
    <w:p w14:paraId="28945961">
      <w:pPr>
        <w:spacing w:line="276" w:lineRule="auto"/>
        <w:ind w:firstLine="560" w:firstLineChars="200"/>
        <w:rPr>
          <w:rFonts w:hint="eastAsia" w:ascii="仿宋_GB2312" w:hAnsi="仿宋_GB2312" w:eastAsia="仿宋_GB2312" w:cs="仿宋_GB2312"/>
          <w:sz w:val="28"/>
          <w:szCs w:val="28"/>
        </w:rPr>
      </w:pPr>
    </w:p>
    <w:p w14:paraId="74FC2866">
      <w:pPr>
        <w:spacing w:line="276"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甲方：(盖章)                乙方(盖章)</w:t>
      </w:r>
    </w:p>
    <w:p w14:paraId="27456756">
      <w:pPr>
        <w:pStyle w:val="5"/>
        <w:rPr>
          <w:rFonts w:hint="eastAsia" w:ascii="仿宋_GB2312" w:hAnsi="仿宋_GB2312" w:eastAsia="仿宋_GB2312" w:cs="仿宋_GB2312"/>
          <w:sz w:val="28"/>
          <w:szCs w:val="28"/>
        </w:rPr>
      </w:pPr>
    </w:p>
    <w:p w14:paraId="15BA4149">
      <w:pPr>
        <w:spacing w:line="276" w:lineRule="auto"/>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甲方负责人：(签字)          乙方负责人：(签字)  </w:t>
      </w:r>
    </w:p>
    <w:p w14:paraId="3AB1F863">
      <w:pPr>
        <w:spacing w:line="276" w:lineRule="auto"/>
        <w:ind w:firstLine="560" w:firstLineChars="200"/>
        <w:outlineLvl w:val="9"/>
        <w:rPr>
          <w:rFonts w:hint="eastAsia" w:ascii="仿宋_GB2312" w:hAnsi="仿宋_GB2312" w:eastAsia="仿宋_GB2312" w:cs="仿宋_GB2312"/>
          <w:sz w:val="28"/>
          <w:szCs w:val="28"/>
        </w:rPr>
      </w:pPr>
    </w:p>
    <w:p w14:paraId="034BA0BF">
      <w:pPr>
        <w:spacing w:line="276" w:lineRule="auto"/>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甲方经办人:                 乙方经办人：</w:t>
      </w:r>
    </w:p>
    <w:p w14:paraId="75FCB7F4">
      <w:pPr>
        <w:spacing w:line="276" w:lineRule="auto"/>
        <w:ind w:firstLine="560" w:firstLineChars="200"/>
        <w:outlineLvl w:val="9"/>
        <w:rPr>
          <w:rFonts w:hint="eastAsia" w:ascii="仿宋_GB2312" w:hAnsi="仿宋_GB2312" w:eastAsia="仿宋_GB2312" w:cs="仿宋_GB2312"/>
          <w:sz w:val="28"/>
          <w:szCs w:val="28"/>
        </w:rPr>
      </w:pPr>
    </w:p>
    <w:p w14:paraId="66BD6BA8">
      <w:pPr>
        <w:spacing w:line="276" w:lineRule="auto"/>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年   月   日                年   月   日 </w:t>
      </w:r>
    </w:p>
    <w:p w14:paraId="64B8DA8B">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br w:type="page"/>
      </w:r>
      <w:r>
        <w:rPr>
          <w:rFonts w:hint="eastAsia" w:ascii="仿宋_GB2312" w:hAnsi="仿宋_GB2312" w:eastAsia="仿宋_GB2312" w:cs="仿宋_GB2312"/>
          <w:b/>
          <w:bCs w:val="0"/>
          <w:sz w:val="28"/>
          <w:szCs w:val="28"/>
        </w:rPr>
        <w:t>附件1：</w:t>
      </w:r>
    </w:p>
    <w:p w14:paraId="07FF11F8">
      <w:pPr>
        <w:spacing w:line="560" w:lineRule="exact"/>
        <w:jc w:val="center"/>
        <w:rPr>
          <w:rFonts w:hint="eastAsia" w:ascii="仿宋_GB2312" w:hAnsi="仿宋_GB2312" w:eastAsia="仿宋_GB2312" w:cs="仿宋_GB2312"/>
          <w:bCs/>
          <w:sz w:val="28"/>
          <w:szCs w:val="28"/>
          <w:highlight w:val="cyan"/>
        </w:rPr>
      </w:pPr>
      <w:r>
        <w:rPr>
          <w:rFonts w:hint="eastAsia" w:ascii="仿宋_GB2312" w:hAnsi="仿宋_GB2312" w:eastAsia="仿宋_GB2312" w:cs="仿宋_GB2312"/>
          <w:b/>
          <w:bCs w:val="0"/>
          <w:sz w:val="28"/>
          <w:szCs w:val="28"/>
        </w:rPr>
        <w:t>安全生产、文明施工责任书</w:t>
      </w:r>
    </w:p>
    <w:p w14:paraId="06A31ADB">
      <w:pPr>
        <w:spacing w:line="560" w:lineRule="exact"/>
        <w:jc w:val="center"/>
        <w:rPr>
          <w:rFonts w:hint="eastAsia" w:ascii="仿宋_GB2312" w:hAnsi="仿宋_GB2312" w:eastAsia="仿宋_GB2312" w:cs="仿宋_GB2312"/>
          <w:bCs/>
          <w:color w:val="000000"/>
          <w:sz w:val="28"/>
          <w:szCs w:val="28"/>
        </w:rPr>
      </w:pPr>
    </w:p>
    <w:p w14:paraId="4554A157">
      <w:pPr>
        <w:spacing w:line="5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甲方：</w:t>
      </w:r>
      <w:r>
        <w:rPr>
          <w:rFonts w:hint="eastAsia" w:ascii="仿宋_GB2312" w:hAnsi="仿宋_GB2312" w:eastAsia="仿宋_GB2312" w:cs="仿宋_GB2312"/>
          <w:sz w:val="28"/>
          <w:szCs w:val="28"/>
          <w:u w:val="single"/>
        </w:rPr>
        <w:t xml:space="preserve">                                      </w:t>
      </w:r>
    </w:p>
    <w:p w14:paraId="37324445">
      <w:pPr>
        <w:spacing w:line="5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u w:val="single"/>
        </w:rPr>
        <w:t xml:space="preserve">                                      </w:t>
      </w:r>
    </w:p>
    <w:p w14:paraId="05007ABE">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w:t>
      </w:r>
    </w:p>
    <w:p w14:paraId="28267FF2">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为加强安全施工管理，认真落实“安全第一、预防为主”的安全生产工作方针，杜绝安全事故发生，维护人民生命和财产安全，根据《中华人民共和国安全生产法》、《建设工程</w:t>
      </w:r>
      <w:bookmarkStart w:id="13" w:name="_GoBack"/>
      <w:bookmarkEnd w:id="13"/>
      <w:r>
        <w:rPr>
          <w:rFonts w:hint="eastAsia" w:ascii="仿宋_GB2312" w:hAnsi="仿宋_GB2312" w:eastAsia="仿宋_GB2312" w:cs="仿宋_GB2312"/>
          <w:color w:val="000000"/>
          <w:sz w:val="28"/>
          <w:szCs w:val="28"/>
        </w:rPr>
        <w:t>安全生产管理条例》等相关法规政策，经甲、乙双方协商一致，就</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u w:val="single"/>
        </w:rPr>
        <w:t>中学楼、部室楼卫生间改造项目</w:t>
      </w:r>
      <w:r>
        <w:rPr>
          <w:rFonts w:hint="eastAsia" w:ascii="仿宋_GB2312" w:hAnsi="仿宋_GB2312" w:eastAsia="仿宋_GB2312" w:cs="仿宋_GB2312"/>
          <w:color w:val="000000"/>
          <w:sz w:val="28"/>
          <w:szCs w:val="28"/>
          <w:u w:val="single"/>
          <w:lang w:eastAsia="zh-CN"/>
        </w:rPr>
        <w:t>（</w:t>
      </w:r>
      <w:r>
        <w:rPr>
          <w:rFonts w:hint="eastAsia" w:ascii="仿宋_GB2312" w:hAnsi="仿宋_GB2312" w:eastAsia="仿宋_GB2312" w:cs="仿宋_GB2312"/>
          <w:color w:val="000000"/>
          <w:sz w:val="28"/>
          <w:szCs w:val="28"/>
          <w:u w:val="single"/>
          <w:lang w:val="en-US" w:eastAsia="zh-CN"/>
        </w:rPr>
        <w:t>二次</w:t>
      </w:r>
      <w:r>
        <w:rPr>
          <w:rFonts w:hint="eastAsia" w:ascii="仿宋_GB2312" w:hAnsi="仿宋_GB2312" w:eastAsia="仿宋_GB2312" w:cs="仿宋_GB2312"/>
          <w:color w:val="000000"/>
          <w:sz w:val="28"/>
          <w:szCs w:val="28"/>
          <w:u w:val="single"/>
          <w:lang w:eastAsia="zh-CN"/>
        </w:rPr>
        <w:t>）</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签署安全生产、文明施工责任书，主要内容如下：</w:t>
      </w:r>
    </w:p>
    <w:p w14:paraId="3774AA03">
      <w:pPr>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一、甲方责任</w:t>
      </w:r>
    </w:p>
    <w:p w14:paraId="15BCE948">
      <w:pPr>
        <w:spacing w:line="360" w:lineRule="auto"/>
        <w:ind w:firstLine="420" w:firstLineChars="150"/>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rPr>
        <w:t xml:space="preserve">（一）及时传达和通报相关职能部门关于安全生产工作的重要指示和要求，督促乙方安全施工工作的落实。 </w:t>
      </w:r>
    </w:p>
    <w:p w14:paraId="3145EB3D">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（二）定期组织安全会议，随时组织安全检查和现场监督管理。</w:t>
      </w:r>
    </w:p>
    <w:p w14:paraId="2FF89057">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（三）及时协调解决工程实施过程中各类管线的迁移和改造等问题。</w:t>
      </w:r>
    </w:p>
    <w:p w14:paraId="12303BA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二、乙方责任</w:t>
      </w:r>
    </w:p>
    <w:p w14:paraId="042FF735">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（一）及时处理施工过程中妨碍安全生产和文明施工的问题。</w:t>
      </w:r>
    </w:p>
    <w:p w14:paraId="69624029">
      <w:pPr>
        <w:spacing w:line="360" w:lineRule="auto"/>
        <w:ind w:firstLine="420" w:firstLineChars="15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（二）</w:t>
      </w:r>
      <w:r>
        <w:rPr>
          <w:rFonts w:hint="eastAsia" w:ascii="仿宋_GB2312" w:hAnsi="仿宋_GB2312" w:eastAsia="仿宋_GB2312" w:cs="仿宋_GB2312"/>
          <w:color w:val="000000"/>
          <w:sz w:val="28"/>
          <w:szCs w:val="28"/>
        </w:rPr>
        <w:t>认真贯彻执行《中华人民共和国安全生产法》、《建设工程安全生产管理条例》等有关安全生产的法规政策。根据现场实际情况，制订有效可行的安全与文明施工方案。</w:t>
      </w:r>
    </w:p>
    <w:p w14:paraId="4F55CBA3">
      <w:pPr>
        <w:spacing w:line="360" w:lineRule="auto"/>
        <w:ind w:firstLine="420" w:firstLineChars="15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（三）</w:t>
      </w:r>
      <w:r>
        <w:rPr>
          <w:rFonts w:hint="eastAsia" w:ascii="仿宋_GB2312" w:hAnsi="仿宋_GB2312" w:eastAsia="仿宋_GB2312" w:cs="仿宋_GB2312"/>
          <w:color w:val="000000"/>
          <w:sz w:val="28"/>
          <w:szCs w:val="28"/>
        </w:rPr>
        <w:t>应当健全安全生产制度，建立由法定代表人为第一责任人的责任体系，完善紧急救援措施，保证安全施工，做到“组织有保证，任务有要求，工作有检查，预防有措施”。</w:t>
      </w:r>
    </w:p>
    <w:p w14:paraId="7B061CFB">
      <w:pPr>
        <w:spacing w:line="360" w:lineRule="auto"/>
        <w:ind w:firstLine="420" w:firstLineChars="15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（四）应建立健全安全组织管理机构，制订严格的安全管理制度和安全生产预案。现场施工人员全面掌握安全文明施工的方法和要领，安全生产文明施工责任人全过程进驻现场。</w:t>
      </w:r>
    </w:p>
    <w:p w14:paraId="261456ED">
      <w:pPr>
        <w:spacing w:line="360" w:lineRule="auto"/>
        <w:ind w:firstLine="420" w:firstLineChars="15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（五）应</w:t>
      </w:r>
      <w:r>
        <w:rPr>
          <w:rFonts w:hint="eastAsia" w:ascii="仿宋_GB2312" w:hAnsi="仿宋_GB2312" w:eastAsia="仿宋_GB2312" w:cs="仿宋_GB2312"/>
          <w:color w:val="000000"/>
          <w:sz w:val="28"/>
          <w:szCs w:val="28"/>
        </w:rPr>
        <w:t>建立严格的对易燃、易爆等危险品管理制度和使用规范，配备充足的安全防护物品和器具。</w:t>
      </w:r>
    </w:p>
    <w:p w14:paraId="5A08DA1B">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（六）应在施工现场周边设立围护设施和警示标志。</w:t>
      </w:r>
      <w:r>
        <w:rPr>
          <w:rFonts w:hint="eastAsia" w:ascii="仿宋_GB2312" w:hAnsi="仿宋_GB2312" w:eastAsia="仿宋_GB2312" w:cs="仿宋_GB2312"/>
          <w:color w:val="000000"/>
          <w:sz w:val="28"/>
          <w:szCs w:val="28"/>
        </w:rPr>
        <w:t>施工前，乙方向职工介绍施工中有关安全、防火等规章制度及要求，提高职工的安全思想意识和自我保护能力，督促职工自觉遵守安全纪律、制度法规。乙方必须检查、督促施工人员严格遵守、认真执行。</w:t>
      </w:r>
    </w:p>
    <w:p w14:paraId="1338D2E8">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（七）机械设备、脚手架等设施，在搭设、安装完毕并按规定验收后方可使用，严禁在未检验或检验不合格情况下投入使用。</w:t>
      </w:r>
    </w:p>
    <w:p w14:paraId="7141B4FA">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八）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14:paraId="2D101BFE">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（九）</w:t>
      </w:r>
      <w:r>
        <w:rPr>
          <w:rFonts w:hint="eastAsia" w:ascii="仿宋_GB2312" w:hAnsi="仿宋_GB2312" w:eastAsia="仿宋_GB2312" w:cs="仿宋_GB2312"/>
          <w:color w:val="000000"/>
          <w:sz w:val="28"/>
          <w:szCs w:val="28"/>
        </w:rPr>
        <w:t>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14:paraId="7B8983C4">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color w:val="000000"/>
          <w:sz w:val="28"/>
          <w:szCs w:val="28"/>
        </w:rPr>
        <w:t>在施工中，应注意地下管线及高低压架空线路保护，甲方应详细交底，乙方应贯彻交底要求，如遇有情况，应及时和甲方联系，采取保护措施。</w:t>
      </w:r>
    </w:p>
    <w:p w14:paraId="14101BFD">
      <w:pPr>
        <w:spacing w:line="360" w:lineRule="auto"/>
        <w:ind w:firstLine="420" w:firstLineChars="15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（十一）</w:t>
      </w:r>
      <w:r>
        <w:rPr>
          <w:rFonts w:hint="eastAsia" w:ascii="仿宋_GB2312" w:hAnsi="仿宋_GB2312" w:eastAsia="仿宋_GB2312" w:cs="仿宋_GB2312"/>
          <w:color w:val="000000"/>
          <w:sz w:val="28"/>
          <w:szCs w:val="28"/>
        </w:rPr>
        <w:t>配备充足的安全防护物品和器具，监督施工人员自觉穿戴好安全防护用品。</w:t>
      </w:r>
    </w:p>
    <w:p w14:paraId="2E1BCFC6">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十二）拆除房屋或构筑物前，应先截断电源、关闭天然气，拆除楼房应当搭设防护架、设立防护网，施工人员应当按规定佩戴安全帽、挂设保险绳，应有效的控制施工过程中的扬尘、噪声和震动，按有关规定运输建筑材料、处置建筑渣土和各种废物。 </w:t>
      </w:r>
    </w:p>
    <w:p w14:paraId="0850018C">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在房屋拆除施工时不得有下列行为：抛撒废料；将有毒有害废物作土方回填；泥浆水未经处理直接排入城市排水设施或河道；无符合规定装置而在施工现场熔融沥青或者焚烧油毡、油漆以及其它产生有毒有害烟尘和气体的物质；在应拆除建筑物内办公、生活或非作业性滞留；其它应当禁止的行为。</w:t>
      </w:r>
    </w:p>
    <w:p w14:paraId="5DDB84E6">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十四）积极配合相关部门的监督、检查和指导，对存在的问题，要制定整改措施、经费保障、完工日期等整改计划，及时采取有效措施，消除安全隐患，按规定的时间上交安全检查整改情况书面材料，并向甲方报送整改情况。   </w:t>
      </w:r>
    </w:p>
    <w:p w14:paraId="5EB5A8B7">
      <w:pPr>
        <w:spacing w:line="360" w:lineRule="auto"/>
        <w:ind w:firstLine="420" w:firstLineChars="15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（十五）加强拆除现场管理，完善各种安全防护设施，乙方</w:t>
      </w:r>
      <w:r>
        <w:rPr>
          <w:rFonts w:hint="eastAsia" w:ascii="仿宋_GB2312" w:hAnsi="仿宋_GB2312" w:eastAsia="仿宋_GB2312" w:cs="仿宋_GB2312"/>
          <w:color w:val="000000"/>
          <w:sz w:val="28"/>
          <w:szCs w:val="28"/>
        </w:rPr>
        <w:t>承担施工过程中发生安全事故的全部责任和处罚。</w:t>
      </w:r>
      <w:r>
        <w:rPr>
          <w:rFonts w:hint="eastAsia" w:ascii="仿宋_GB2312" w:hAnsi="仿宋_GB2312" w:eastAsia="仿宋_GB2312" w:cs="仿宋_GB2312"/>
          <w:sz w:val="28"/>
          <w:szCs w:val="28"/>
        </w:rPr>
        <w:t>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14:paraId="07548D9F">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六）甲方向乙方支付安全看护费（详见房屋拆除及垃圾清运工程合同），乙方应组织做好拆除前所有移交房屋及现场安全看护工作，若因看护不力导致的安全事故等由乙方承担全部责任。同时，乙方应组织开展拆迁区域的安全巡查工作，对发现的安全隐患应及时向甲方报告以采取解决措施。</w:t>
      </w:r>
    </w:p>
    <w:p w14:paraId="40A3ED23">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三、本责任书未注明事项，必须符合招标文件及国家相关法律、法规以及各级建设行政主管部门的相关要求。</w:t>
      </w:r>
    </w:p>
    <w:p w14:paraId="43DE03F8">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四、本责任书一式陆份，甲、乙双方各执肆份，双方签字盖章后生效，工作完成后自动失效。</w:t>
      </w:r>
    </w:p>
    <w:p w14:paraId="62FBCC1A">
      <w:pPr>
        <w:spacing w:line="560" w:lineRule="exact"/>
        <w:ind w:firstLine="560" w:firstLineChars="200"/>
        <w:rPr>
          <w:rFonts w:hint="eastAsia" w:ascii="仿宋_GB2312" w:hAnsi="仿宋_GB2312" w:eastAsia="仿宋_GB2312" w:cs="仿宋_GB2312"/>
          <w:sz w:val="28"/>
          <w:szCs w:val="28"/>
        </w:rPr>
      </w:pPr>
    </w:p>
    <w:p w14:paraId="4BE4E757">
      <w:pPr>
        <w:spacing w:line="560" w:lineRule="exact"/>
        <w:ind w:firstLine="560" w:firstLineChars="200"/>
        <w:rPr>
          <w:rFonts w:hint="eastAsia" w:ascii="仿宋_GB2312" w:hAnsi="仿宋_GB2312" w:eastAsia="仿宋_GB2312" w:cs="仿宋_GB2312"/>
          <w:sz w:val="28"/>
          <w:szCs w:val="28"/>
        </w:rPr>
      </w:pPr>
    </w:p>
    <w:p w14:paraId="3FBE7D1D">
      <w:pPr>
        <w:spacing w:line="560" w:lineRule="exact"/>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甲方：(盖章)                乙方(盖章)</w:t>
      </w:r>
    </w:p>
    <w:p w14:paraId="27467A5A">
      <w:pPr>
        <w:spacing w:line="560" w:lineRule="exact"/>
        <w:ind w:firstLine="560" w:firstLineChars="200"/>
        <w:outlineLvl w:val="9"/>
        <w:rPr>
          <w:rFonts w:hint="eastAsia" w:ascii="仿宋_GB2312" w:hAnsi="仿宋_GB2312" w:eastAsia="仿宋_GB2312" w:cs="仿宋_GB2312"/>
          <w:sz w:val="28"/>
          <w:szCs w:val="28"/>
        </w:rPr>
      </w:pPr>
    </w:p>
    <w:p w14:paraId="156DAC34">
      <w:pPr>
        <w:spacing w:line="560" w:lineRule="exact"/>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甲方负责人：(签字)          乙方负责人：(签字)  </w:t>
      </w:r>
    </w:p>
    <w:p w14:paraId="1D624196">
      <w:pPr>
        <w:spacing w:line="560" w:lineRule="exact"/>
        <w:ind w:firstLine="560" w:firstLineChars="200"/>
        <w:outlineLvl w:val="9"/>
        <w:rPr>
          <w:rFonts w:hint="eastAsia" w:ascii="仿宋_GB2312" w:hAnsi="仿宋_GB2312" w:eastAsia="仿宋_GB2312" w:cs="仿宋_GB2312"/>
          <w:sz w:val="28"/>
          <w:szCs w:val="28"/>
        </w:rPr>
      </w:pPr>
    </w:p>
    <w:p w14:paraId="32A8442B">
      <w:pPr>
        <w:spacing w:line="560" w:lineRule="exact"/>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甲方经办人:                 乙方经办人：</w:t>
      </w:r>
    </w:p>
    <w:p w14:paraId="327B8B36">
      <w:pPr>
        <w:pStyle w:val="12"/>
        <w:adjustRightInd w:val="0"/>
        <w:snapToGrid w:val="0"/>
        <w:spacing w:before="0" w:after="0" w:line="360" w:lineRule="auto"/>
        <w:ind w:firstLine="560" w:firstLineChars="200"/>
        <w:jc w:val="left"/>
        <w:outlineLvl w:val="9"/>
        <w:rPr>
          <w:rFonts w:hint="eastAsia" w:ascii="仿宋_GB2312" w:hAnsi="仿宋_GB2312" w:eastAsia="仿宋_GB2312" w:cs="仿宋_GB2312"/>
          <w:b w:val="0"/>
          <w:bCs w:val="0"/>
          <w:sz w:val="28"/>
          <w:szCs w:val="28"/>
        </w:rPr>
      </w:pPr>
    </w:p>
    <w:p w14:paraId="49ACDDCD">
      <w:pPr>
        <w:pStyle w:val="12"/>
        <w:adjustRightInd w:val="0"/>
        <w:snapToGrid w:val="0"/>
        <w:spacing w:before="0" w:after="0" w:line="360" w:lineRule="auto"/>
        <w:ind w:firstLine="560" w:firstLineChars="200"/>
        <w:jc w:val="left"/>
        <w:outlineLvl w:val="9"/>
        <w:rPr>
          <w:rFonts w:hint="eastAsia" w:ascii="仿宋_GB2312" w:hAnsi="仿宋_GB2312" w:eastAsia="仿宋_GB2312" w:cs="仿宋_GB2312"/>
          <w:b w:val="0"/>
          <w:bCs w:val="0"/>
          <w:sz w:val="28"/>
          <w:szCs w:val="28"/>
        </w:rPr>
      </w:pPr>
      <w:bookmarkStart w:id="0" w:name="_Toc6190"/>
      <w:bookmarkStart w:id="1" w:name="_Toc1316"/>
      <w:bookmarkStart w:id="2" w:name="_Toc26683"/>
      <w:bookmarkStart w:id="3" w:name="_Toc31348"/>
      <w:bookmarkStart w:id="4" w:name="_Toc22086"/>
      <w:bookmarkStart w:id="5" w:name="_Toc7935"/>
      <w:bookmarkStart w:id="6" w:name="_Toc878"/>
      <w:bookmarkStart w:id="7" w:name="_Toc9849"/>
      <w:bookmarkStart w:id="8" w:name="_Toc1781"/>
      <w:bookmarkStart w:id="9" w:name="_Toc19939"/>
      <w:bookmarkStart w:id="10" w:name="_Toc2086"/>
      <w:bookmarkStart w:id="11" w:name="_Toc15001"/>
      <w:bookmarkStart w:id="12" w:name="_Toc13973"/>
      <w:r>
        <w:rPr>
          <w:rFonts w:hint="eastAsia" w:ascii="仿宋_GB2312" w:hAnsi="仿宋_GB2312" w:eastAsia="仿宋_GB2312" w:cs="仿宋_GB2312"/>
          <w:b w:val="0"/>
          <w:bCs w:val="0"/>
          <w:sz w:val="28"/>
          <w:szCs w:val="28"/>
        </w:rPr>
        <w:t>年   月   日                年   月   日</w:t>
      </w:r>
      <w:bookmarkEnd w:id="0"/>
      <w:bookmarkEnd w:id="1"/>
      <w:bookmarkEnd w:id="2"/>
      <w:bookmarkEnd w:id="3"/>
      <w:bookmarkEnd w:id="4"/>
      <w:bookmarkEnd w:id="5"/>
      <w:bookmarkEnd w:id="6"/>
      <w:bookmarkEnd w:id="7"/>
      <w:bookmarkEnd w:id="8"/>
      <w:bookmarkEnd w:id="9"/>
      <w:bookmarkEnd w:id="10"/>
      <w:bookmarkEnd w:id="11"/>
      <w:bookmarkEnd w:id="12"/>
    </w:p>
    <w:p w14:paraId="196B85AC">
      <w:pPr>
        <w:pStyle w:val="3"/>
        <w:ind w:firstLine="0"/>
        <w:rPr>
          <w:color w:val="0000FF"/>
          <w:u w:val="singl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jZjMDgwYWJjZmNiM2YzZmU4MTk1ZjZmYmY1NWU1OTE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2680F16"/>
    <w:rsid w:val="071938B9"/>
    <w:rsid w:val="0EBB3568"/>
    <w:rsid w:val="0EC60B07"/>
    <w:rsid w:val="10C34C2B"/>
    <w:rsid w:val="10CF4970"/>
    <w:rsid w:val="172B4FA4"/>
    <w:rsid w:val="192A37C4"/>
    <w:rsid w:val="198577DD"/>
    <w:rsid w:val="1CA80820"/>
    <w:rsid w:val="1D6E70FD"/>
    <w:rsid w:val="20CC1619"/>
    <w:rsid w:val="21665943"/>
    <w:rsid w:val="244871F4"/>
    <w:rsid w:val="244F794E"/>
    <w:rsid w:val="274E2D73"/>
    <w:rsid w:val="27EF733B"/>
    <w:rsid w:val="292902AA"/>
    <w:rsid w:val="29BB6BC2"/>
    <w:rsid w:val="29E3139F"/>
    <w:rsid w:val="2F1025C8"/>
    <w:rsid w:val="2F3623BF"/>
    <w:rsid w:val="30104537"/>
    <w:rsid w:val="313868D1"/>
    <w:rsid w:val="325B49C3"/>
    <w:rsid w:val="326A7D77"/>
    <w:rsid w:val="337C2651"/>
    <w:rsid w:val="33EF3E56"/>
    <w:rsid w:val="39094D4C"/>
    <w:rsid w:val="3CCE5611"/>
    <w:rsid w:val="3CE71A85"/>
    <w:rsid w:val="412A6A1E"/>
    <w:rsid w:val="414032D5"/>
    <w:rsid w:val="43771D7F"/>
    <w:rsid w:val="48B56357"/>
    <w:rsid w:val="4EC118A7"/>
    <w:rsid w:val="4FDA2485"/>
    <w:rsid w:val="53153B18"/>
    <w:rsid w:val="54F63A8A"/>
    <w:rsid w:val="5C7E1FD1"/>
    <w:rsid w:val="5D3B49BA"/>
    <w:rsid w:val="5ED25CB1"/>
    <w:rsid w:val="60E414E6"/>
    <w:rsid w:val="61E5759F"/>
    <w:rsid w:val="62D319A3"/>
    <w:rsid w:val="666C19EF"/>
    <w:rsid w:val="691722BE"/>
    <w:rsid w:val="696F3399"/>
    <w:rsid w:val="6D7C5096"/>
    <w:rsid w:val="6DE02AB3"/>
    <w:rsid w:val="734E36BE"/>
    <w:rsid w:val="73D36D67"/>
    <w:rsid w:val="74343D24"/>
    <w:rsid w:val="764F97C9"/>
    <w:rsid w:val="78C53AE4"/>
    <w:rsid w:val="7A2645FE"/>
    <w:rsid w:val="7C8A02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16">
    <w:name w:val="Default Paragraph Font"/>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1"/>
    </w:rPr>
  </w:style>
  <w:style w:type="paragraph" w:styleId="4">
    <w:name w:val="annotation text"/>
    <w:basedOn w:val="1"/>
    <w:autoRedefine/>
    <w:qFormat/>
    <w:uiPriority w:val="0"/>
    <w:pPr>
      <w:jc w:val="left"/>
    </w:pPr>
  </w:style>
  <w:style w:type="paragraph" w:styleId="5">
    <w:name w:val="Body Text"/>
    <w:basedOn w:val="1"/>
    <w:autoRedefine/>
    <w:qFormat/>
    <w:uiPriority w:val="99"/>
    <w:pPr>
      <w:jc w:val="left"/>
    </w:pPr>
    <w:rPr>
      <w:kern w:val="0"/>
    </w:rPr>
  </w:style>
  <w:style w:type="paragraph" w:styleId="6">
    <w:name w:val="Plain Text"/>
    <w:basedOn w:val="1"/>
    <w:autoRedefine/>
    <w:qFormat/>
    <w:uiPriority w:val="0"/>
    <w:rPr>
      <w:rFonts w:ascii="宋体" w:hAnsi="Courier New"/>
      <w:kern w:val="0"/>
      <w:sz w:val="20"/>
    </w:rPr>
  </w:style>
  <w:style w:type="paragraph" w:styleId="7">
    <w:name w:val="Balloon Text"/>
    <w:basedOn w:val="1"/>
    <w:link w:val="19"/>
    <w:autoRedefine/>
    <w:qFormat/>
    <w:uiPriority w:val="0"/>
    <w:rPr>
      <w:sz w:val="18"/>
      <w:szCs w:val="18"/>
    </w:rPr>
  </w:style>
  <w:style w:type="paragraph" w:styleId="8">
    <w:name w:val="footer"/>
    <w:basedOn w:val="1"/>
    <w:next w:val="5"/>
    <w:autoRedefine/>
    <w:qFormat/>
    <w:uiPriority w:val="0"/>
    <w:pPr>
      <w:tabs>
        <w:tab w:val="center" w:pos="4140"/>
        <w:tab w:val="right" w:pos="8300"/>
      </w:tabs>
      <w:snapToGrid w:val="0"/>
      <w:jc w:val="left"/>
    </w:pPr>
    <w:rPr>
      <w:sz w:val="18"/>
      <w:szCs w:val="18"/>
    </w:rPr>
  </w:style>
  <w:style w:type="paragraph" w:styleId="9">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2">
    <w:name w:val="Title"/>
    <w:basedOn w:val="1"/>
    <w:next w:val="1"/>
    <w:qFormat/>
    <w:uiPriority w:val="99"/>
    <w:pPr>
      <w:widowControl/>
      <w:spacing w:before="240" w:after="60"/>
      <w:jc w:val="center"/>
      <w:outlineLvl w:val="0"/>
    </w:pPr>
    <w:rPr>
      <w:rFonts w:ascii="Cambria" w:hAnsi="Cambria"/>
      <w:b/>
      <w:bCs/>
      <w:kern w:val="28"/>
      <w:sz w:val="32"/>
      <w:szCs w:val="32"/>
    </w:rPr>
  </w:style>
  <w:style w:type="paragraph" w:styleId="13">
    <w:name w:val="Body Text First Indent"/>
    <w:basedOn w:val="5"/>
    <w:qFormat/>
    <w:uiPriority w:val="0"/>
    <w:pPr>
      <w:spacing w:line="360" w:lineRule="auto"/>
      <w:ind w:firstLine="420"/>
    </w:pPr>
    <w:rPr>
      <w:rFonts w:ascii="宋体" w:hAnsi="宋体"/>
      <w:sz w:val="24"/>
    </w:rPr>
  </w:style>
  <w:style w:type="table" w:styleId="15">
    <w:name w:val="Table Grid"/>
    <w:basedOn w:val="1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annotation reference"/>
    <w:basedOn w:val="16"/>
    <w:autoRedefine/>
    <w:qFormat/>
    <w:uiPriority w:val="0"/>
    <w:rPr>
      <w:sz w:val="21"/>
      <w:szCs w:val="21"/>
    </w:rPr>
  </w:style>
  <w:style w:type="character" w:customStyle="1" w:styleId="18">
    <w:name w:val="页眉 Char"/>
    <w:basedOn w:val="16"/>
    <w:link w:val="9"/>
    <w:autoRedefine/>
    <w:qFormat/>
    <w:uiPriority w:val="0"/>
    <w:rPr>
      <w:kern w:val="2"/>
      <w:sz w:val="18"/>
      <w:szCs w:val="18"/>
    </w:rPr>
  </w:style>
  <w:style w:type="character" w:customStyle="1" w:styleId="19">
    <w:name w:val="批注框文本 Char"/>
    <w:basedOn w:val="16"/>
    <w:link w:val="7"/>
    <w:autoRedefine/>
    <w:qFormat/>
    <w:uiPriority w:val="0"/>
    <w:rPr>
      <w:kern w:val="2"/>
      <w:sz w:val="18"/>
      <w:szCs w:val="18"/>
    </w:rPr>
  </w:style>
  <w:style w:type="paragraph" w:customStyle="1" w:styleId="20">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5046</Words>
  <Characters>5073</Characters>
  <Lines>23</Lines>
  <Paragraphs>6</Paragraphs>
  <TotalTime>2</TotalTime>
  <ScaleCrop>false</ScaleCrop>
  <LinksUpToDate>false</LinksUpToDate>
  <CharactersWithSpaces>5773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陕西华采招标有限公司</cp:lastModifiedBy>
  <cp:lastPrinted>2022-09-28T14:56:00Z</cp:lastPrinted>
  <dcterms:modified xsi:type="dcterms:W3CDTF">2025-07-29T06:51:39Z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E79E879024B94D3FB100E7468F0D228F</vt:lpwstr>
  </property>
  <property fmtid="{D5CDD505-2E9C-101B-9397-08002B2CF9AE}" pid="4" name="KSOTemplateDocerSaveRecord">
    <vt:lpwstr>eyJoZGlkIjoiYjZjMDgwYWJjZmNiM2YzZmU4MTk1ZjZmYmY1NWU1OTEiLCJ1c2VySWQiOiI5MzY1NjA0ODAifQ==</vt:lpwstr>
  </property>
</Properties>
</file>