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01181">
      <w:pPr>
        <w:pStyle w:val="3"/>
        <w:keepNext/>
        <w:keepLines w:val="0"/>
        <w:pageBreakBefore w:val="0"/>
        <w:widowControl w:val="0"/>
        <w:numPr>
          <w:numId w:val="0"/>
        </w:numPr>
        <w:kinsoku/>
        <w:wordWrap/>
        <w:overflowPunct/>
        <w:topLinePunct w:val="0"/>
        <w:autoSpaceDE/>
        <w:autoSpaceDN/>
        <w:bidi w:val="0"/>
        <w:adjustRightInd/>
        <w:snapToGrid/>
        <w:spacing w:before="361" w:beforeLines="100" w:after="361" w:afterLines="100"/>
        <w:jc w:val="center"/>
        <w:textAlignment w:val="auto"/>
        <w:rPr>
          <w:rFonts w:hint="eastAsia" w:ascii="仿宋" w:hAnsi="仿宋" w:eastAsia="仿宋" w:cs="仿宋"/>
          <w:bCs/>
          <w:color w:val="auto"/>
          <w:sz w:val="36"/>
          <w:szCs w:val="36"/>
          <w:highlight w:val="none"/>
        </w:rPr>
      </w:pPr>
      <w:bookmarkStart w:id="0" w:name="_Toc18545"/>
      <w:bookmarkStart w:id="1" w:name="_Toc15270"/>
      <w:r>
        <w:rPr>
          <w:rFonts w:hint="eastAsia" w:ascii="仿宋" w:hAnsi="仿宋" w:eastAsia="仿宋" w:cs="仿宋"/>
          <w:bCs/>
          <w:color w:val="auto"/>
          <w:sz w:val="36"/>
          <w:szCs w:val="36"/>
          <w:highlight w:val="none"/>
        </w:rPr>
        <w:t>合同条款及</w:t>
      </w:r>
      <w:bookmarkStart w:id="4" w:name="_GoBack"/>
      <w:bookmarkEnd w:id="4"/>
      <w:r>
        <w:rPr>
          <w:rFonts w:hint="eastAsia" w:ascii="仿宋" w:hAnsi="仿宋" w:eastAsia="仿宋" w:cs="仿宋"/>
          <w:bCs/>
          <w:color w:val="auto"/>
          <w:sz w:val="36"/>
          <w:szCs w:val="36"/>
          <w:highlight w:val="none"/>
        </w:rPr>
        <w:t>格式</w:t>
      </w:r>
      <w:bookmarkEnd w:id="0"/>
      <w:bookmarkEnd w:id="1"/>
    </w:p>
    <w:p w14:paraId="5F088CFE">
      <w:pPr>
        <w:spacing w:line="360" w:lineRule="auto"/>
        <w:jc w:val="center"/>
        <w:rPr>
          <w:rFonts w:hint="eastAsia" w:ascii="仿宋" w:hAnsi="仿宋" w:eastAsia="仿宋" w:cs="仿宋"/>
          <w:b/>
          <w:bCs/>
          <w:sz w:val="28"/>
          <w:szCs w:val="21"/>
          <w:lang w:val="en-US" w:eastAsia="zh-CN"/>
        </w:rPr>
      </w:pPr>
      <w:r>
        <w:rPr>
          <w:rFonts w:hint="eastAsia" w:ascii="仿宋" w:hAnsi="仿宋" w:eastAsia="仿宋" w:cs="仿宋"/>
          <w:b/>
          <w:bCs/>
          <w:sz w:val="28"/>
          <w:szCs w:val="21"/>
          <w:lang w:val="en-US" w:eastAsia="zh-CN"/>
        </w:rPr>
        <w:t>适用于合同包1</w:t>
      </w:r>
    </w:p>
    <w:p w14:paraId="7461AE74">
      <w:pPr>
        <w:shd w:val="clear" w:color="auto" w:fill="FFFFFF"/>
        <w:snapToGrid w:val="0"/>
        <w:spacing w:line="48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甲方：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p w14:paraId="0E9DA067">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乙方：</w:t>
      </w:r>
      <w:r>
        <w:rPr>
          <w:rFonts w:hint="eastAsia" w:ascii="仿宋_GB2312" w:hAnsi="仿宋_GB2312" w:eastAsia="仿宋_GB2312" w:cs="仿宋_GB2312"/>
          <w:sz w:val="24"/>
          <w:u w:val="single"/>
        </w:rPr>
        <w:t xml:space="preserve">                                    </w:t>
      </w:r>
    </w:p>
    <w:p w14:paraId="712CB529">
      <w:pPr>
        <w:shd w:val="clear" w:color="auto" w:fill="FFFFFF"/>
        <w:snapToGrid w:val="0"/>
        <w:spacing w:line="360" w:lineRule="auto"/>
        <w:ind w:firstLine="600" w:firstLineChars="250"/>
        <w:jc w:val="left"/>
        <w:rPr>
          <w:rFonts w:hint="eastAsia" w:ascii="仿宋_GB2312" w:hAnsi="仿宋_GB2312" w:eastAsia="仿宋_GB2312" w:cs="仿宋_GB2312"/>
          <w:sz w:val="24"/>
        </w:rPr>
      </w:pPr>
      <w:r>
        <w:rPr>
          <w:rFonts w:hint="eastAsia" w:ascii="仿宋_GB2312" w:hAnsi="仿宋_GB2312" w:eastAsia="仿宋_GB2312" w:cs="仿宋_GB2312"/>
          <w:sz w:val="24"/>
        </w:rPr>
        <w:t>依据《中华人民共和国</w:t>
      </w:r>
      <w:r>
        <w:rPr>
          <w:rFonts w:hint="eastAsia" w:ascii="仿宋_GB2312" w:hAnsi="仿宋_GB2312" w:eastAsia="仿宋_GB2312" w:cs="仿宋_GB2312"/>
          <w:sz w:val="24"/>
          <w:lang w:val="en-US" w:eastAsia="zh-CN"/>
        </w:rPr>
        <w:t>民法典</w:t>
      </w:r>
      <w:r>
        <w:rPr>
          <w:rFonts w:hint="eastAsia" w:ascii="仿宋_GB2312" w:hAnsi="仿宋_GB2312" w:eastAsia="仿宋_GB2312" w:cs="仿宋_GB2312"/>
          <w:sz w:val="24"/>
        </w:rPr>
        <w:t>》及其他有关法律法规，遵循平等、自愿、公平和诚实信用的原则，甲、乙双方就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14:paraId="4D63A092">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一、项目范围</w:t>
      </w:r>
    </w:p>
    <w:p w14:paraId="6BB53588">
      <w:pPr>
        <w:shd w:val="clear" w:color="auto" w:fill="FFFFFF"/>
        <w:snapToGrid w:val="0"/>
        <w:spacing w:line="360" w:lineRule="auto"/>
        <w:ind w:firstLine="480" w:firstLineChars="200"/>
        <w:rPr>
          <w:rFonts w:hint="eastAsia" w:ascii="仿宋_GB2312" w:hAnsi="仿宋_GB2312" w:eastAsia="仿宋_GB2312" w:cs="仿宋_GB2312"/>
          <w:sz w:val="24"/>
          <w:u w:val="single"/>
        </w:rPr>
      </w:pPr>
      <w:r>
        <w:rPr>
          <w:rFonts w:hint="eastAsia" w:ascii="仿宋_GB2312" w:hAnsi="仿宋_GB2312" w:eastAsia="仿宋_GB2312" w:cs="仿宋_GB2312"/>
          <w:sz w:val="24"/>
        </w:rPr>
        <w:t>本项目包括如下内容：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4A0CEC1D">
      <w:pPr>
        <w:spacing w:line="360" w:lineRule="auto"/>
        <w:jc w:val="both"/>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rPr>
        <w:t>二、项目租赁期限</w:t>
      </w:r>
      <w:r>
        <w:rPr>
          <w:rFonts w:hint="eastAsia" w:ascii="仿宋_GB2312" w:hAnsi="仿宋_GB2312" w:eastAsia="仿宋_GB2312" w:cs="仿宋_GB2312"/>
          <w:b/>
          <w:bCs/>
          <w:sz w:val="24"/>
          <w:lang w:eastAsia="zh-CN"/>
        </w:rPr>
        <w:t>（（</w:t>
      </w:r>
      <w:r>
        <w:rPr>
          <w:rFonts w:hint="eastAsia" w:ascii="仿宋_GB2312" w:hAnsi="仿宋_GB2312" w:eastAsia="仿宋_GB2312" w:cs="仿宋_GB2312"/>
          <w:b/>
          <w:bCs/>
          <w:sz w:val="24"/>
          <w:lang w:val="en-US" w:eastAsia="zh-CN"/>
        </w:rPr>
        <w:t>服务期</w:t>
      </w:r>
      <w:r>
        <w:rPr>
          <w:rFonts w:hint="eastAsia" w:ascii="仿宋_GB2312" w:hAnsi="仿宋_GB2312" w:eastAsia="仿宋_GB2312" w:cs="仿宋_GB2312"/>
          <w:b/>
          <w:bCs/>
          <w:sz w:val="24"/>
          <w:lang w:eastAsia="zh-CN"/>
        </w:rPr>
        <w:t>））</w:t>
      </w:r>
    </w:p>
    <w:p w14:paraId="3B71726E">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rPr>
        <w:t>本</w:t>
      </w:r>
      <w:r>
        <w:rPr>
          <w:rFonts w:hint="eastAsia" w:ascii="仿宋_GB2312" w:hAnsi="仿宋_GB2312" w:eastAsia="仿宋_GB2312" w:cs="仿宋_GB2312"/>
          <w:sz w:val="24"/>
          <w:highlight w:val="none"/>
        </w:rPr>
        <w:t>项目</w:t>
      </w:r>
      <w:r>
        <w:rPr>
          <w:rFonts w:hint="eastAsia" w:ascii="仿宋_GB2312" w:hAnsi="仿宋_GB2312" w:eastAsia="仿宋_GB2312" w:cs="仿宋_GB2312"/>
          <w:bCs/>
          <w:sz w:val="24"/>
          <w:highlight w:val="none"/>
        </w:rPr>
        <w:t>租赁期限</w:t>
      </w:r>
      <w:r>
        <w:rPr>
          <w:rFonts w:hint="eastAsia" w:ascii="仿宋_GB2312" w:hAnsi="仿宋_GB2312" w:eastAsia="仿宋_GB2312" w:cs="仿宋_GB2312"/>
          <w:sz w:val="24"/>
          <w:highlight w:val="none"/>
        </w:rPr>
        <w:t>为：</w:t>
      </w:r>
      <w:r>
        <w:rPr>
          <w:rFonts w:hint="eastAsia" w:ascii="仿宋_GB2312" w:hAnsi="仿宋_GB2312" w:eastAsia="仿宋_GB2312" w:cs="仿宋_GB2312"/>
          <w:sz w:val="24"/>
          <w:highlight w:val="none"/>
          <w:lang w:val="en-US" w:eastAsia="zh-CN"/>
        </w:rPr>
        <w:t>1</w:t>
      </w:r>
      <w:r>
        <w:rPr>
          <w:rFonts w:hint="eastAsia" w:ascii="仿宋_GB2312" w:hAnsi="仿宋_GB2312" w:eastAsia="仿宋_GB2312" w:cs="仿宋_GB2312"/>
          <w:sz w:val="24"/>
          <w:highlight w:val="none"/>
          <w:u w:val="single"/>
        </w:rPr>
        <w:t>年</w:t>
      </w:r>
      <w:r>
        <w:rPr>
          <w:rFonts w:hint="eastAsia" w:ascii="仿宋_GB2312" w:hAnsi="仿宋_GB2312" w:eastAsia="仿宋_GB2312" w:cs="仿宋_GB2312"/>
          <w:sz w:val="24"/>
          <w:highlight w:val="none"/>
        </w:rPr>
        <w:t>。</w:t>
      </w:r>
    </w:p>
    <w:p w14:paraId="08129C8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三、合同文件及解释</w:t>
      </w:r>
    </w:p>
    <w:p w14:paraId="1B23A2B8">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合同协议书</w:t>
      </w:r>
    </w:p>
    <w:p w14:paraId="7A0E45AC">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成交</w:t>
      </w:r>
      <w:r>
        <w:rPr>
          <w:rFonts w:hint="eastAsia" w:ascii="仿宋_GB2312" w:hAnsi="仿宋_GB2312" w:eastAsia="仿宋_GB2312" w:cs="仿宋_GB2312"/>
          <w:kern w:val="28"/>
          <w:sz w:val="24"/>
          <w:highlight w:val="none"/>
        </w:rPr>
        <w:t>通知书</w:t>
      </w:r>
    </w:p>
    <w:p w14:paraId="7640B967">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竞争性磋商</w:t>
      </w:r>
      <w:r>
        <w:rPr>
          <w:rFonts w:hint="eastAsia" w:ascii="仿宋_GB2312" w:hAnsi="仿宋_GB2312" w:eastAsia="仿宋_GB2312" w:cs="仿宋_GB2312"/>
          <w:kern w:val="28"/>
          <w:sz w:val="24"/>
          <w:highlight w:val="none"/>
        </w:rPr>
        <w:t>文件及澄清补遗文件</w:t>
      </w:r>
    </w:p>
    <w:p w14:paraId="14EDE89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成交</w:t>
      </w:r>
      <w:r>
        <w:rPr>
          <w:rFonts w:hint="eastAsia" w:ascii="仿宋_GB2312" w:hAnsi="仿宋_GB2312" w:eastAsia="仿宋_GB2312" w:cs="仿宋_GB2312"/>
          <w:kern w:val="28"/>
          <w:sz w:val="24"/>
          <w:highlight w:val="none"/>
        </w:rPr>
        <w:t>单位</w:t>
      </w:r>
      <w:r>
        <w:rPr>
          <w:rFonts w:hint="eastAsia" w:ascii="仿宋_GB2312" w:hAnsi="仿宋_GB2312" w:eastAsia="仿宋_GB2312" w:cs="仿宋_GB2312"/>
          <w:kern w:val="28"/>
          <w:sz w:val="24"/>
          <w:highlight w:val="none"/>
          <w:lang w:val="en-US" w:eastAsia="zh-CN"/>
        </w:rPr>
        <w:t>磋商响应</w:t>
      </w:r>
      <w:r>
        <w:rPr>
          <w:rFonts w:hint="eastAsia" w:ascii="仿宋_GB2312" w:hAnsi="仿宋_GB2312" w:eastAsia="仿宋_GB2312" w:cs="仿宋_GB2312"/>
          <w:kern w:val="28"/>
          <w:sz w:val="24"/>
          <w:highlight w:val="none"/>
        </w:rPr>
        <w:t>文件</w:t>
      </w:r>
    </w:p>
    <w:p w14:paraId="31DC7D09">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技术标准、规范。</w:t>
      </w:r>
    </w:p>
    <w:p w14:paraId="60E78826">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其他合同文件</w:t>
      </w:r>
    </w:p>
    <w:p w14:paraId="11C75F8F">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四、合同价款、结算与支付</w:t>
      </w:r>
    </w:p>
    <w:p w14:paraId="110D77B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1、本合同总价款</w:t>
      </w:r>
    </w:p>
    <w:p w14:paraId="1D5373C5">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本合同总价款为</w:t>
      </w:r>
      <w:r>
        <w:rPr>
          <w:rFonts w:hint="eastAsia" w:ascii="仿宋_GB2312" w:hAnsi="仿宋_GB2312" w:eastAsia="仿宋_GB2312" w:cs="仿宋_GB2312"/>
          <w:b/>
          <w:kern w:val="28"/>
          <w:sz w:val="24"/>
          <w:highlight w:val="none"/>
          <w:u w:val="single"/>
        </w:rPr>
        <w:t>RMB            （人民币大写：         )</w:t>
      </w:r>
      <w:r>
        <w:rPr>
          <w:rFonts w:hint="eastAsia" w:ascii="仿宋_GB2312" w:hAnsi="仿宋_GB2312" w:eastAsia="仿宋_GB2312" w:cs="仿宋_GB2312"/>
          <w:kern w:val="28"/>
          <w:sz w:val="24"/>
          <w:highlight w:val="none"/>
        </w:rPr>
        <w:t>该合同总价包括承接甲方项目所承担的全过程的一切费用</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kern w:val="28"/>
          <w:sz w:val="24"/>
          <w:highlight w:val="none"/>
        </w:rPr>
        <w:t>合同</w:t>
      </w:r>
      <w:r>
        <w:rPr>
          <w:rFonts w:hint="eastAsia" w:ascii="仿宋_GB2312" w:hAnsi="仿宋_GB2312" w:eastAsia="仿宋_GB2312" w:cs="仿宋_GB2312"/>
          <w:sz w:val="24"/>
          <w:highlight w:val="none"/>
          <w:lang w:val="en-US" w:eastAsia="zh-CN"/>
        </w:rPr>
        <w:t>综合单价</w:t>
      </w:r>
      <w:r>
        <w:rPr>
          <w:rFonts w:hint="eastAsia" w:ascii="仿宋_GB2312" w:hAnsi="仿宋_GB2312" w:eastAsia="仿宋_GB2312" w:cs="仿宋_GB2312"/>
          <w:kern w:val="28"/>
          <w:sz w:val="24"/>
          <w:highlight w:val="none"/>
        </w:rPr>
        <w:t>每平方米</w:t>
      </w:r>
      <w:r>
        <w:rPr>
          <w:rFonts w:hint="eastAsia" w:ascii="仿宋_GB2312" w:hAnsi="仿宋_GB2312" w:eastAsia="仿宋_GB2312" w:cs="仿宋_GB2312"/>
          <w:kern w:val="28"/>
          <w:sz w:val="24"/>
          <w:highlight w:val="none"/>
          <w:lang w:eastAsia="zh-CN"/>
        </w:rPr>
        <w:t>每月</w:t>
      </w:r>
      <w:r>
        <w:rPr>
          <w:rFonts w:ascii="仿宋_GB2312" w:hAnsi="仿宋_GB2312" w:eastAsia="仿宋_GB2312" w:cs="仿宋_GB2312"/>
          <w:kern w:val="28"/>
          <w:sz w:val="24"/>
          <w:highlight w:val="none"/>
          <w:u w:val="single"/>
        </w:rPr>
        <w:t xml:space="preserve">   </w:t>
      </w:r>
      <w:r>
        <w:rPr>
          <w:rFonts w:hint="eastAsia" w:ascii="仿宋_GB2312" w:hAnsi="仿宋_GB2312" w:eastAsia="仿宋_GB2312" w:cs="仿宋_GB2312"/>
          <w:kern w:val="28"/>
          <w:sz w:val="24"/>
          <w:highlight w:val="none"/>
          <w:u w:val="single"/>
          <w:lang w:val="en-US" w:eastAsia="zh-CN"/>
        </w:rPr>
        <w:t xml:space="preserve">   </w:t>
      </w:r>
      <w:r>
        <w:rPr>
          <w:rFonts w:ascii="仿宋_GB2312" w:hAnsi="仿宋_GB2312" w:eastAsia="仿宋_GB2312" w:cs="仿宋_GB2312"/>
          <w:kern w:val="28"/>
          <w:sz w:val="24"/>
          <w:highlight w:val="none"/>
          <w:u w:val="single"/>
        </w:rPr>
        <w:t xml:space="preserve"> </w:t>
      </w:r>
      <w:r>
        <w:rPr>
          <w:rFonts w:hint="eastAsia" w:ascii="仿宋_GB2312" w:hAnsi="仿宋_GB2312" w:eastAsia="仿宋_GB2312" w:cs="仿宋_GB2312"/>
          <w:kern w:val="28"/>
          <w:sz w:val="24"/>
          <w:highlight w:val="none"/>
        </w:rPr>
        <w:t>元。</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0"/>
        <w:gridCol w:w="1350"/>
        <w:gridCol w:w="960"/>
        <w:gridCol w:w="765"/>
        <w:gridCol w:w="1005"/>
        <w:gridCol w:w="1515"/>
        <w:gridCol w:w="1345"/>
      </w:tblGrid>
      <w:tr w14:paraId="62F4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0DC6310E">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序号</w:t>
            </w:r>
          </w:p>
        </w:tc>
        <w:tc>
          <w:tcPr>
            <w:tcW w:w="1410" w:type="dxa"/>
            <w:noWrap w:val="0"/>
            <w:vAlign w:val="center"/>
          </w:tcPr>
          <w:p w14:paraId="0552DE64">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服务名称</w:t>
            </w:r>
          </w:p>
        </w:tc>
        <w:tc>
          <w:tcPr>
            <w:tcW w:w="1350" w:type="dxa"/>
            <w:noWrap w:val="0"/>
            <w:vAlign w:val="center"/>
          </w:tcPr>
          <w:p w14:paraId="52F2DDD2">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主要技术/服务指标</w:t>
            </w:r>
          </w:p>
        </w:tc>
        <w:tc>
          <w:tcPr>
            <w:tcW w:w="960" w:type="dxa"/>
            <w:noWrap w:val="0"/>
            <w:vAlign w:val="center"/>
          </w:tcPr>
          <w:p w14:paraId="53278266">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单位</w:t>
            </w:r>
          </w:p>
        </w:tc>
        <w:tc>
          <w:tcPr>
            <w:tcW w:w="765" w:type="dxa"/>
            <w:noWrap w:val="0"/>
            <w:vAlign w:val="center"/>
          </w:tcPr>
          <w:p w14:paraId="4D5A1E13">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数量</w:t>
            </w:r>
          </w:p>
        </w:tc>
        <w:tc>
          <w:tcPr>
            <w:tcW w:w="1005" w:type="dxa"/>
            <w:noWrap w:val="0"/>
            <w:vAlign w:val="center"/>
          </w:tcPr>
          <w:p w14:paraId="2BB9B51A">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单价（元）</w:t>
            </w:r>
          </w:p>
        </w:tc>
        <w:tc>
          <w:tcPr>
            <w:tcW w:w="1515" w:type="dxa"/>
            <w:noWrap w:val="0"/>
            <w:vAlign w:val="center"/>
          </w:tcPr>
          <w:p w14:paraId="3DF3B7D8">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合价（元）</w:t>
            </w:r>
          </w:p>
        </w:tc>
        <w:tc>
          <w:tcPr>
            <w:tcW w:w="1345" w:type="dxa"/>
            <w:noWrap w:val="0"/>
            <w:vAlign w:val="center"/>
          </w:tcPr>
          <w:p w14:paraId="6E23C6C4">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备注</w:t>
            </w:r>
          </w:p>
        </w:tc>
      </w:tr>
      <w:tr w14:paraId="2506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38366F00">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w:t>
            </w:r>
          </w:p>
        </w:tc>
        <w:tc>
          <w:tcPr>
            <w:tcW w:w="1410" w:type="dxa"/>
            <w:noWrap w:val="0"/>
            <w:vAlign w:val="center"/>
          </w:tcPr>
          <w:p w14:paraId="4D2EF9AB">
            <w:pPr>
              <w:spacing w:line="440" w:lineRule="exact"/>
              <w:jc w:val="center"/>
              <w:rPr>
                <w:rFonts w:hint="eastAsia" w:ascii="仿宋_GB2312" w:hAnsi="仿宋_GB2312" w:eastAsia="仿宋_GB2312" w:cs="仿宋_GB2312"/>
                <w:bCs/>
                <w:sz w:val="24"/>
                <w:highlight w:val="none"/>
              </w:rPr>
            </w:pPr>
          </w:p>
        </w:tc>
        <w:tc>
          <w:tcPr>
            <w:tcW w:w="1350" w:type="dxa"/>
            <w:noWrap w:val="0"/>
            <w:vAlign w:val="center"/>
          </w:tcPr>
          <w:p w14:paraId="549F612E">
            <w:pPr>
              <w:spacing w:line="440" w:lineRule="exact"/>
              <w:jc w:val="center"/>
              <w:rPr>
                <w:rFonts w:hint="eastAsia" w:ascii="仿宋_GB2312" w:hAnsi="仿宋_GB2312" w:eastAsia="仿宋_GB2312" w:cs="仿宋_GB2312"/>
                <w:bCs/>
                <w:sz w:val="24"/>
                <w:highlight w:val="none"/>
              </w:rPr>
            </w:pPr>
          </w:p>
        </w:tc>
        <w:tc>
          <w:tcPr>
            <w:tcW w:w="960" w:type="dxa"/>
            <w:noWrap w:val="0"/>
            <w:vAlign w:val="center"/>
          </w:tcPr>
          <w:p w14:paraId="401DC37C">
            <w:pPr>
              <w:spacing w:line="440" w:lineRule="exact"/>
              <w:jc w:val="center"/>
              <w:rPr>
                <w:rFonts w:hint="eastAsia" w:ascii="仿宋_GB2312" w:hAnsi="仿宋_GB2312" w:eastAsia="仿宋_GB2312" w:cs="仿宋_GB2312"/>
                <w:bCs/>
                <w:sz w:val="24"/>
                <w:highlight w:val="none"/>
              </w:rPr>
            </w:pPr>
          </w:p>
        </w:tc>
        <w:tc>
          <w:tcPr>
            <w:tcW w:w="765" w:type="dxa"/>
            <w:noWrap w:val="0"/>
            <w:vAlign w:val="center"/>
          </w:tcPr>
          <w:p w14:paraId="12EF8BC5">
            <w:pPr>
              <w:spacing w:line="440" w:lineRule="exact"/>
              <w:jc w:val="center"/>
              <w:rPr>
                <w:rFonts w:hint="eastAsia" w:ascii="仿宋_GB2312" w:hAnsi="仿宋_GB2312" w:eastAsia="仿宋_GB2312" w:cs="仿宋_GB2312"/>
                <w:bCs/>
                <w:sz w:val="24"/>
                <w:highlight w:val="none"/>
              </w:rPr>
            </w:pPr>
          </w:p>
        </w:tc>
        <w:tc>
          <w:tcPr>
            <w:tcW w:w="1005" w:type="dxa"/>
            <w:noWrap w:val="0"/>
            <w:vAlign w:val="center"/>
          </w:tcPr>
          <w:p w14:paraId="0B5CB450">
            <w:pPr>
              <w:spacing w:line="440" w:lineRule="exact"/>
              <w:jc w:val="center"/>
              <w:rPr>
                <w:rFonts w:hint="eastAsia" w:ascii="仿宋_GB2312" w:hAnsi="仿宋_GB2312" w:eastAsia="仿宋_GB2312" w:cs="仿宋_GB2312"/>
                <w:bCs/>
                <w:sz w:val="24"/>
                <w:highlight w:val="none"/>
              </w:rPr>
            </w:pPr>
          </w:p>
        </w:tc>
        <w:tc>
          <w:tcPr>
            <w:tcW w:w="1515" w:type="dxa"/>
            <w:noWrap w:val="0"/>
            <w:vAlign w:val="center"/>
          </w:tcPr>
          <w:p w14:paraId="5C3F5651">
            <w:pPr>
              <w:spacing w:line="440" w:lineRule="exact"/>
              <w:jc w:val="center"/>
              <w:rPr>
                <w:rFonts w:hint="eastAsia" w:ascii="仿宋_GB2312" w:hAnsi="仿宋_GB2312" w:eastAsia="仿宋_GB2312" w:cs="仿宋_GB2312"/>
                <w:bCs/>
                <w:sz w:val="24"/>
                <w:highlight w:val="none"/>
              </w:rPr>
            </w:pPr>
          </w:p>
        </w:tc>
        <w:tc>
          <w:tcPr>
            <w:tcW w:w="1345" w:type="dxa"/>
            <w:noWrap w:val="0"/>
            <w:vAlign w:val="center"/>
          </w:tcPr>
          <w:p w14:paraId="786C660D">
            <w:pPr>
              <w:spacing w:line="440" w:lineRule="exact"/>
              <w:jc w:val="center"/>
              <w:rPr>
                <w:rFonts w:hint="eastAsia" w:ascii="仿宋_GB2312" w:hAnsi="仿宋_GB2312" w:eastAsia="仿宋_GB2312" w:cs="仿宋_GB2312"/>
                <w:bCs/>
                <w:sz w:val="24"/>
                <w:highlight w:val="none"/>
              </w:rPr>
            </w:pPr>
          </w:p>
        </w:tc>
      </w:tr>
      <w:tr w14:paraId="270E5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216CF1B1">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410" w:type="dxa"/>
            <w:noWrap w:val="0"/>
            <w:vAlign w:val="center"/>
          </w:tcPr>
          <w:p w14:paraId="51B46299">
            <w:pPr>
              <w:spacing w:line="440" w:lineRule="exact"/>
              <w:jc w:val="center"/>
              <w:rPr>
                <w:rFonts w:hint="eastAsia" w:ascii="仿宋_GB2312" w:hAnsi="仿宋_GB2312" w:eastAsia="仿宋_GB2312" w:cs="仿宋_GB2312"/>
                <w:bCs/>
                <w:sz w:val="24"/>
                <w:highlight w:val="none"/>
              </w:rPr>
            </w:pPr>
          </w:p>
        </w:tc>
        <w:tc>
          <w:tcPr>
            <w:tcW w:w="1350" w:type="dxa"/>
            <w:noWrap w:val="0"/>
            <w:vAlign w:val="center"/>
          </w:tcPr>
          <w:p w14:paraId="1DC9932E">
            <w:pPr>
              <w:spacing w:line="440" w:lineRule="exact"/>
              <w:jc w:val="center"/>
              <w:rPr>
                <w:rFonts w:hint="eastAsia" w:ascii="仿宋_GB2312" w:hAnsi="仿宋_GB2312" w:eastAsia="仿宋_GB2312" w:cs="仿宋_GB2312"/>
                <w:bCs/>
                <w:sz w:val="24"/>
                <w:highlight w:val="none"/>
              </w:rPr>
            </w:pPr>
          </w:p>
        </w:tc>
        <w:tc>
          <w:tcPr>
            <w:tcW w:w="960" w:type="dxa"/>
            <w:noWrap w:val="0"/>
            <w:vAlign w:val="center"/>
          </w:tcPr>
          <w:p w14:paraId="59A58A81">
            <w:pPr>
              <w:spacing w:line="440" w:lineRule="exact"/>
              <w:jc w:val="center"/>
              <w:rPr>
                <w:rFonts w:hint="eastAsia" w:ascii="仿宋_GB2312" w:hAnsi="仿宋_GB2312" w:eastAsia="仿宋_GB2312" w:cs="仿宋_GB2312"/>
                <w:bCs/>
                <w:sz w:val="24"/>
                <w:highlight w:val="none"/>
              </w:rPr>
            </w:pPr>
          </w:p>
        </w:tc>
        <w:tc>
          <w:tcPr>
            <w:tcW w:w="765" w:type="dxa"/>
            <w:noWrap w:val="0"/>
            <w:vAlign w:val="center"/>
          </w:tcPr>
          <w:p w14:paraId="7C0C3ACA">
            <w:pPr>
              <w:spacing w:line="440" w:lineRule="exact"/>
              <w:jc w:val="center"/>
              <w:rPr>
                <w:rFonts w:hint="eastAsia" w:ascii="仿宋_GB2312" w:hAnsi="仿宋_GB2312" w:eastAsia="仿宋_GB2312" w:cs="仿宋_GB2312"/>
                <w:bCs/>
                <w:sz w:val="24"/>
                <w:highlight w:val="none"/>
              </w:rPr>
            </w:pPr>
          </w:p>
        </w:tc>
        <w:tc>
          <w:tcPr>
            <w:tcW w:w="1005" w:type="dxa"/>
            <w:noWrap w:val="0"/>
            <w:vAlign w:val="center"/>
          </w:tcPr>
          <w:p w14:paraId="3F48AB53">
            <w:pPr>
              <w:spacing w:line="440" w:lineRule="exact"/>
              <w:jc w:val="center"/>
              <w:rPr>
                <w:rFonts w:hint="eastAsia" w:ascii="仿宋_GB2312" w:hAnsi="仿宋_GB2312" w:eastAsia="仿宋_GB2312" w:cs="仿宋_GB2312"/>
                <w:bCs/>
                <w:sz w:val="24"/>
                <w:highlight w:val="none"/>
              </w:rPr>
            </w:pPr>
          </w:p>
        </w:tc>
        <w:tc>
          <w:tcPr>
            <w:tcW w:w="1515" w:type="dxa"/>
            <w:noWrap w:val="0"/>
            <w:vAlign w:val="center"/>
          </w:tcPr>
          <w:p w14:paraId="4B5D4C15">
            <w:pPr>
              <w:spacing w:line="440" w:lineRule="exact"/>
              <w:jc w:val="center"/>
              <w:rPr>
                <w:rFonts w:hint="eastAsia" w:ascii="仿宋_GB2312" w:hAnsi="仿宋_GB2312" w:eastAsia="仿宋_GB2312" w:cs="仿宋_GB2312"/>
                <w:bCs/>
                <w:sz w:val="24"/>
                <w:highlight w:val="none"/>
              </w:rPr>
            </w:pPr>
          </w:p>
        </w:tc>
        <w:tc>
          <w:tcPr>
            <w:tcW w:w="1345" w:type="dxa"/>
            <w:noWrap w:val="0"/>
            <w:vAlign w:val="center"/>
          </w:tcPr>
          <w:p w14:paraId="60F7F283">
            <w:pPr>
              <w:spacing w:line="440" w:lineRule="exact"/>
              <w:jc w:val="center"/>
              <w:rPr>
                <w:rFonts w:hint="eastAsia" w:ascii="仿宋_GB2312" w:hAnsi="仿宋_GB2312" w:eastAsia="仿宋_GB2312" w:cs="仿宋_GB2312"/>
                <w:bCs/>
                <w:sz w:val="24"/>
                <w:highlight w:val="none"/>
              </w:rPr>
            </w:pPr>
          </w:p>
        </w:tc>
      </w:tr>
      <w:tr w14:paraId="18F0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6" w:type="dxa"/>
            <w:gridSpan w:val="2"/>
            <w:noWrap w:val="0"/>
            <w:vAlign w:val="center"/>
          </w:tcPr>
          <w:p w14:paraId="28D5D73E">
            <w:pPr>
              <w:spacing w:line="440" w:lineRule="exac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合计金额（元）</w:t>
            </w:r>
          </w:p>
        </w:tc>
        <w:tc>
          <w:tcPr>
            <w:tcW w:w="1350" w:type="dxa"/>
            <w:noWrap w:val="0"/>
            <w:vAlign w:val="center"/>
          </w:tcPr>
          <w:p w14:paraId="7E2B66EE">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大写</w:t>
            </w:r>
          </w:p>
        </w:tc>
        <w:tc>
          <w:tcPr>
            <w:tcW w:w="2730" w:type="dxa"/>
            <w:gridSpan w:val="3"/>
            <w:noWrap w:val="0"/>
            <w:vAlign w:val="center"/>
          </w:tcPr>
          <w:p w14:paraId="480DBC96">
            <w:pPr>
              <w:spacing w:line="440" w:lineRule="exact"/>
              <w:jc w:val="center"/>
              <w:rPr>
                <w:rFonts w:hint="eastAsia" w:ascii="仿宋_GB2312" w:hAnsi="仿宋_GB2312" w:eastAsia="仿宋_GB2312" w:cs="仿宋_GB2312"/>
                <w:bCs/>
                <w:sz w:val="24"/>
                <w:highlight w:val="none"/>
              </w:rPr>
            </w:pPr>
          </w:p>
        </w:tc>
        <w:tc>
          <w:tcPr>
            <w:tcW w:w="1515" w:type="dxa"/>
            <w:noWrap w:val="0"/>
            <w:vAlign w:val="center"/>
          </w:tcPr>
          <w:p w14:paraId="3B2E7E46">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小写</w:t>
            </w:r>
          </w:p>
        </w:tc>
        <w:tc>
          <w:tcPr>
            <w:tcW w:w="1345" w:type="dxa"/>
            <w:noWrap w:val="0"/>
            <w:vAlign w:val="center"/>
          </w:tcPr>
          <w:p w14:paraId="2CEA2D33">
            <w:pPr>
              <w:spacing w:line="440" w:lineRule="exact"/>
              <w:jc w:val="center"/>
              <w:rPr>
                <w:rFonts w:hint="eastAsia" w:ascii="仿宋_GB2312" w:hAnsi="仿宋_GB2312" w:eastAsia="仿宋_GB2312" w:cs="仿宋_GB2312"/>
                <w:bCs/>
                <w:sz w:val="24"/>
                <w:highlight w:val="none"/>
              </w:rPr>
            </w:pPr>
          </w:p>
        </w:tc>
      </w:tr>
      <w:tr w14:paraId="49D3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256" w:type="dxa"/>
            <w:gridSpan w:val="2"/>
            <w:noWrap w:val="0"/>
            <w:vAlign w:val="center"/>
          </w:tcPr>
          <w:p w14:paraId="12ADDAAC">
            <w:pPr>
              <w:spacing w:line="360" w:lineRule="auto"/>
              <w:jc w:val="center"/>
              <w:rPr>
                <w:rFonts w:hint="eastAsia" w:ascii="仿宋_GB2312" w:hAnsi="宋体" w:eastAsia="仿宋_GB2312" w:cs="宋体"/>
                <w:color w:val="auto"/>
                <w:sz w:val="24"/>
                <w:highlight w:val="none"/>
                <w:lang w:eastAsia="zh-CN"/>
              </w:rPr>
            </w:pPr>
            <w:r>
              <w:rPr>
                <w:rFonts w:hint="eastAsia" w:ascii="仿宋_GB2312" w:hAnsi="仿宋_GB2312" w:eastAsia="仿宋_GB2312" w:cs="仿宋_GB2312"/>
                <w:bCs/>
                <w:sz w:val="24"/>
                <w:highlight w:val="none"/>
                <w:lang w:eastAsia="zh-CN"/>
              </w:rPr>
              <w:t>租赁</w:t>
            </w:r>
            <w:r>
              <w:rPr>
                <w:rFonts w:hint="eastAsia" w:ascii="仿宋_GB2312" w:hAnsi="仿宋_GB2312" w:eastAsia="仿宋_GB2312" w:cs="仿宋_GB2312"/>
                <w:bCs/>
                <w:sz w:val="24"/>
                <w:highlight w:val="none"/>
              </w:rPr>
              <w:t>期限</w:t>
            </w:r>
          </w:p>
          <w:p w14:paraId="4ECEF82A">
            <w:pPr>
              <w:spacing w:line="440" w:lineRule="exact"/>
              <w:jc w:val="center"/>
              <w:rPr>
                <w:rFonts w:hint="eastAsia" w:ascii="仿宋_GB2312" w:hAnsi="仿宋_GB2312" w:eastAsia="仿宋_GB2312" w:cs="仿宋_GB2312"/>
                <w:bCs/>
                <w:sz w:val="24"/>
                <w:highlight w:val="none"/>
                <w:lang w:eastAsia="zh-CN"/>
              </w:rPr>
            </w:pPr>
            <w:r>
              <w:rPr>
                <w:rFonts w:hint="eastAsia" w:ascii="仿宋_GB2312" w:hAnsi="宋体" w:eastAsia="仿宋_GB2312" w:cs="宋体"/>
                <w:color w:val="auto"/>
                <w:sz w:val="24"/>
                <w:highlight w:val="none"/>
                <w:lang w:eastAsia="zh-CN"/>
              </w:rPr>
              <w:t>（</w:t>
            </w:r>
            <w:r>
              <w:rPr>
                <w:rFonts w:hint="eastAsia" w:ascii="仿宋_GB2312" w:hAnsi="宋体" w:eastAsia="仿宋_GB2312" w:cs="宋体"/>
                <w:color w:val="auto"/>
                <w:sz w:val="24"/>
                <w:highlight w:val="none"/>
                <w:lang w:val="en-US" w:eastAsia="zh-CN"/>
              </w:rPr>
              <w:t>服务期</w:t>
            </w:r>
            <w:r>
              <w:rPr>
                <w:rFonts w:hint="eastAsia" w:ascii="仿宋_GB2312" w:hAnsi="宋体" w:eastAsia="仿宋_GB2312" w:cs="宋体"/>
                <w:color w:val="auto"/>
                <w:sz w:val="24"/>
                <w:highlight w:val="none"/>
                <w:lang w:eastAsia="zh-CN"/>
              </w:rPr>
              <w:t>）</w:t>
            </w:r>
          </w:p>
        </w:tc>
        <w:tc>
          <w:tcPr>
            <w:tcW w:w="6940" w:type="dxa"/>
            <w:gridSpan w:val="6"/>
            <w:noWrap w:val="0"/>
            <w:vAlign w:val="center"/>
          </w:tcPr>
          <w:p w14:paraId="080A7D09">
            <w:pPr>
              <w:spacing w:line="440" w:lineRule="exact"/>
              <w:jc w:val="center"/>
              <w:rPr>
                <w:rFonts w:hint="eastAsia" w:ascii="仿宋_GB2312" w:hAnsi="仿宋_GB2312" w:eastAsia="仿宋_GB2312" w:cs="仿宋_GB2312"/>
                <w:bCs/>
                <w:sz w:val="24"/>
                <w:highlight w:val="none"/>
              </w:rPr>
            </w:pPr>
          </w:p>
        </w:tc>
      </w:tr>
      <w:tr w14:paraId="0CEE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6" w:type="dxa"/>
            <w:gridSpan w:val="2"/>
            <w:noWrap w:val="0"/>
            <w:vAlign w:val="center"/>
          </w:tcPr>
          <w:p w14:paraId="5E02FB27">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其它</w:t>
            </w:r>
          </w:p>
        </w:tc>
        <w:tc>
          <w:tcPr>
            <w:tcW w:w="6940" w:type="dxa"/>
            <w:gridSpan w:val="6"/>
            <w:noWrap w:val="0"/>
            <w:vAlign w:val="center"/>
          </w:tcPr>
          <w:p w14:paraId="6C2607D0">
            <w:pPr>
              <w:spacing w:line="440" w:lineRule="exact"/>
              <w:jc w:val="center"/>
              <w:rPr>
                <w:rFonts w:hint="eastAsia" w:ascii="仿宋_GB2312" w:hAnsi="仿宋_GB2312" w:eastAsia="仿宋_GB2312" w:cs="仿宋_GB2312"/>
                <w:bCs/>
                <w:sz w:val="24"/>
                <w:highlight w:val="none"/>
              </w:rPr>
            </w:pPr>
          </w:p>
        </w:tc>
      </w:tr>
    </w:tbl>
    <w:p w14:paraId="59733B82">
      <w:pPr>
        <w:shd w:val="clear" w:color="auto" w:fill="FFFFFF"/>
        <w:snapToGrid w:val="0"/>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2、付款方式:</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sz w:val="24"/>
          <w:highlight w:val="none"/>
        </w:rPr>
        <w:t>。</w:t>
      </w:r>
    </w:p>
    <w:p w14:paraId="0E0A2054">
      <w:pPr>
        <w:shd w:val="clear" w:color="auto" w:fill="FFFFFF"/>
        <w:snapToGrid w:val="0"/>
        <w:spacing w:line="360" w:lineRule="auto"/>
        <w:ind w:firstLine="480" w:firstLineChars="200"/>
        <w:rPr>
          <w:rFonts w:hint="default" w:ascii="仿宋_GB2312" w:hAnsi="仿宋_GB2312" w:eastAsia="仿宋_GB2312" w:cs="仿宋_GB2312"/>
          <w:kern w:val="28"/>
          <w:sz w:val="24"/>
          <w:highlight w:val="none"/>
          <w:lang w:val="en-US" w:eastAsia="zh-CN"/>
        </w:rPr>
      </w:pPr>
      <w:r>
        <w:rPr>
          <w:rFonts w:hint="eastAsia" w:ascii="仿宋_GB2312" w:hAnsi="仿宋_GB2312" w:eastAsia="仿宋_GB2312" w:cs="仿宋_GB2312"/>
          <w:kern w:val="28"/>
          <w:sz w:val="24"/>
          <w:highlight w:val="none"/>
          <w:lang w:val="en-US" w:eastAsia="zh-CN"/>
        </w:rPr>
        <w:t>3、结算：按照成交综合单价结算，结算价=成交综合单价*建筑面积*月数</w:t>
      </w:r>
    </w:p>
    <w:p w14:paraId="098C8AE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五、权利与义务</w:t>
      </w:r>
    </w:p>
    <w:p w14:paraId="7BDA92A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（一）租赁方的权利与义务</w:t>
      </w:r>
    </w:p>
    <w:p w14:paraId="5AC421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1、所有房屋的设施及水电、气、暖、物业费、通讯费等交付情况由租赁方在交付房屋时验明，交付之前发生的费用由承租方结清。自交付的次日起，房屋及其配套设施物品损坏或所发生费用（除租期内出现房屋质量问题外）由租赁方自行承担。因上述事故给相邻各方造成的损失也应由租赁方负责，如地震、战争、恐怖袭击等不可抗力因素造成的后果双方均不承担责任。</w:t>
      </w:r>
    </w:p>
    <w:p w14:paraId="3B267E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2、按规定时间及时、足额缴纳房屋租金。</w:t>
      </w:r>
    </w:p>
    <w:p w14:paraId="62D5BC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3、不得在共用楼道内堆放物品或从事与租房用途无关的活动或任何非法活动。</w:t>
      </w:r>
    </w:p>
    <w:p w14:paraId="515B15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4、租赁期满不可因拆除装修造成承租房屋及配套设施的损坏，否则应承担赔偿责任。</w:t>
      </w:r>
    </w:p>
    <w:p w14:paraId="1F858E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5、因租赁方原因造成房屋和附属设施损坏的，租赁方应当立即以书面形式报承租方，并应当根据承租方的要求进行维修或者赔偿。</w:t>
      </w:r>
    </w:p>
    <w:p w14:paraId="43A3B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rPr>
      </w:pPr>
      <w:r>
        <w:rPr>
          <w:rFonts w:hint="eastAsia" w:ascii="仿宋" w:hAnsi="仿宋" w:eastAsia="仿宋" w:cs="仿宋"/>
        </w:rPr>
        <w:t>6、租赁方在房屋使用中，严格遵守国家、省、市安全生产的各项法律法规及规章制度，严格落实消防安全责任，服从消防安全管理，落实安全生产目标责任书。服从物业公司管理，遵守乙方、物业公司制定的各项规章制度。</w:t>
      </w:r>
    </w:p>
    <w:p w14:paraId="4926945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（二）承租方的权利与义务</w:t>
      </w:r>
    </w:p>
    <w:p w14:paraId="5C6310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承租方须保证该房屋权属真实无争议，且房屋财产的共有人对出售此房屋无异议。若发生与承租方有关的权属纠纷或债务纠纷，由承租方负责解决并承担一切后果及违约责任。若承租方房产不符合国家的政策法规及有关规定，双方均有权解除合同，互不承担违约责任。 </w:t>
      </w:r>
    </w:p>
    <w:p w14:paraId="442CCB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2.交房时承租方应保证配套设施的正常使用，并完整地交付给租赁方。</w:t>
      </w:r>
    </w:p>
    <w:p w14:paraId="00F4E5E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六、质量要求、技术标准</w:t>
      </w:r>
    </w:p>
    <w:p w14:paraId="64BB8A8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1、质量要求：严格执行国家及行业标准规范。</w:t>
      </w:r>
    </w:p>
    <w:p w14:paraId="388F2A8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七、服务要求</w:t>
      </w:r>
    </w:p>
    <w:p w14:paraId="29E381B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1、服务要求：根据甲方要求。</w:t>
      </w:r>
    </w:p>
    <w:p w14:paraId="31701A28">
      <w:pPr>
        <w:spacing w:line="360" w:lineRule="auto"/>
        <w:ind w:left="-8"/>
        <w:rPr>
          <w:rFonts w:hint="eastAsia" w:ascii="仿宋_GB2312" w:hAnsi="仿宋_GB2312" w:eastAsia="仿宋_GB2312" w:cs="仿宋_GB2312"/>
          <w:b/>
          <w:bCs/>
          <w:sz w:val="24"/>
        </w:rPr>
      </w:pPr>
      <w:r>
        <w:rPr>
          <w:rFonts w:hint="eastAsia" w:ascii="仿宋_GB2312" w:hAnsi="仿宋_GB2312" w:eastAsia="仿宋_GB2312" w:cs="仿宋_GB2312"/>
          <w:b/>
          <w:bCs/>
          <w:sz w:val="24"/>
        </w:rPr>
        <w:t>八、服务地点</w:t>
      </w:r>
    </w:p>
    <w:p w14:paraId="7998A1B8">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rPr>
        <w:t>1、甲方指定地点。</w:t>
      </w:r>
    </w:p>
    <w:p w14:paraId="349F7AC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九、项目验收</w:t>
      </w:r>
    </w:p>
    <w:p w14:paraId="5BE9BC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1、经甲方考评，考评合格后结算合同价款</w:t>
      </w:r>
      <w:r>
        <w:rPr>
          <w:rFonts w:hint="eastAsia" w:ascii="仿宋_GB2312" w:hAnsi="仿宋_GB2312" w:eastAsia="仿宋_GB2312" w:cs="仿宋_GB2312"/>
          <w:sz w:val="24"/>
        </w:rPr>
        <w:t>。</w:t>
      </w:r>
    </w:p>
    <w:p w14:paraId="30C9141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十、保密条款</w:t>
      </w:r>
    </w:p>
    <w:p w14:paraId="4927DFE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双方承诺，除非法律另有规定或双方一致同意，任何一方不得将本协议的内容向第三方透露，否则，应向对方承担相应的违约责任。</w:t>
      </w:r>
    </w:p>
    <w:p w14:paraId="5111528F">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5F7CD03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22A17671">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十一、违约责任</w:t>
      </w:r>
    </w:p>
    <w:p w14:paraId="1CD723B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4E9A129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2、乙方应按照合同规定的期限完成系统建设，每延迟一天应承担当期应付款2‰的违约金，违约金累计不超过当期应付款10%。若违约金累计已达上限，乙方仍未履行，甲方有权解除合同。</w:t>
      </w:r>
    </w:p>
    <w:p w14:paraId="5469E6A1">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3</w:t>
      </w:r>
      <w:r>
        <w:rPr>
          <w:rFonts w:hint="eastAsia" w:ascii="仿宋_GB2312" w:hAnsi="仿宋_GB2312" w:eastAsia="仿宋_GB2312" w:cs="仿宋_GB2312"/>
          <w:sz w:val="24"/>
        </w:rPr>
        <w:t xml:space="preserve">、甲、乙双方中任何一方违反本合同第十条保密条款的，应当向相对方支付合同总价款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w:t>
      </w:r>
    </w:p>
    <w:p w14:paraId="5B9874AA">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u w:val="single"/>
        </w:rPr>
        <w:t>责</w:t>
      </w:r>
      <w:r>
        <w:rPr>
          <w:rFonts w:hint="eastAsia" w:ascii="仿宋_GB2312" w:hAnsi="仿宋_GB2312" w:eastAsia="仿宋_GB2312" w:cs="仿宋_GB2312"/>
          <w:sz w:val="24"/>
        </w:rPr>
        <w:t xml:space="preserve">任，乙方还应向甲方承担合同总价款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的违约金，违约金不足以弥补给甲方造成的损失的，乙方还应当承担补足责任。</w:t>
      </w:r>
    </w:p>
    <w:p w14:paraId="24B14EB5">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5、合同成立后，在任何一方无实质违约的情况下，未经相对方书面允许，任何一方不得单方撤销、中止、终止履行合同。</w:t>
      </w:r>
    </w:p>
    <w:p w14:paraId="23B18FA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十二、争议解决</w:t>
      </w:r>
    </w:p>
    <w:p w14:paraId="204120B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rPr>
        <w:t>均有权向甲方所在地人民法院提起诉讼。</w:t>
      </w:r>
    </w:p>
    <w:p w14:paraId="04F0B75E">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十三、协议期限</w:t>
      </w:r>
    </w:p>
    <w:p w14:paraId="63D5987F">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本协议从双方法定代表人或授权代表签字、盖章之日起生效。</w:t>
      </w:r>
    </w:p>
    <w:p w14:paraId="200B3F2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十四、不可抗力</w:t>
      </w:r>
    </w:p>
    <w:p w14:paraId="195D3BF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5842DE3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1D88A6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3、如不可抗力时间延续90天以上的，各方通过协商达成在合理的时间内继续履行合同，或部分履行合同，或终止合同的履行。</w:t>
      </w:r>
    </w:p>
    <w:p w14:paraId="24F81E5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4、一方迟延履行后发生不可抗力的，不能免除责任。</w:t>
      </w:r>
    </w:p>
    <w:p w14:paraId="0D6E6DC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十五、通知和合同修改</w:t>
      </w:r>
    </w:p>
    <w:p w14:paraId="326B519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本合同一方给另一方的通知，都应以书面的形式（信函、传真）发送至对方，对本合同条款进行任何改动，均须由甲乙双方签署书面合同修改或经济签证，方为有效。</w:t>
      </w:r>
    </w:p>
    <w:p w14:paraId="36B0C83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十六、其他规定</w:t>
      </w:r>
    </w:p>
    <w:p w14:paraId="4E070A1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6EE2B26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w:t>
      </w:r>
      <w:r>
        <w:rPr>
          <w:rFonts w:hint="eastAsia" w:ascii="仿宋_GB2312" w:hAnsi="仿宋_GB2312" w:eastAsia="仿宋_GB2312" w:cs="仿宋_GB2312"/>
          <w:kern w:val="28"/>
          <w:sz w:val="24"/>
          <w:lang w:val="en-US" w:eastAsia="zh-CN"/>
        </w:rPr>
        <w:t>一式</w:t>
      </w:r>
      <w:r>
        <w:rPr>
          <w:rFonts w:hint="eastAsia" w:ascii="仿宋_GB2312" w:hAnsi="仿宋_GB2312" w:eastAsia="仿宋_GB2312" w:cs="仿宋_GB2312"/>
          <w:kern w:val="28"/>
          <w:sz w:val="24"/>
          <w:u w:val="single"/>
          <w:lang w:val="en-US" w:eastAsia="zh-CN"/>
        </w:rPr>
        <w:t xml:space="preserve">     </w:t>
      </w:r>
      <w:r>
        <w:rPr>
          <w:rFonts w:hint="eastAsia" w:ascii="仿宋_GB2312" w:hAnsi="仿宋_GB2312" w:eastAsia="仿宋_GB2312" w:cs="仿宋_GB2312"/>
          <w:kern w:val="28"/>
          <w:sz w:val="24"/>
        </w:rPr>
        <w:t>份，具有同等效力。自双方授权代表签字、盖章之日起生效。</w:t>
      </w:r>
    </w:p>
    <w:p w14:paraId="1086936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本合同的订立、履行、变更、终止、解释等均适用中华人民共和国法律。</w:t>
      </w:r>
    </w:p>
    <w:p w14:paraId="2F87AF91">
      <w:pPr>
        <w:shd w:val="clear" w:color="auto" w:fill="FFFFFF"/>
        <w:snapToGrid w:val="0"/>
        <w:spacing w:line="360" w:lineRule="auto"/>
        <w:ind w:firstLine="480" w:firstLineChars="200"/>
        <w:rPr>
          <w:rFonts w:hint="eastAsia" w:ascii="仿宋" w:hAnsi="仿宋" w:eastAsia="仿宋" w:cs="仿宋"/>
          <w:color w:val="auto"/>
          <w:spacing w:val="0"/>
          <w:sz w:val="24"/>
          <w:szCs w:val="24"/>
          <w:highlight w:val="none"/>
        </w:rPr>
      </w:pPr>
      <w:r>
        <w:rPr>
          <w:rFonts w:hint="eastAsia" w:ascii="仿宋_GB2312" w:hAnsi="仿宋_GB2312" w:eastAsia="仿宋_GB2312" w:cs="仿宋_GB2312"/>
          <w:kern w:val="28"/>
          <w:sz w:val="24"/>
        </w:rPr>
        <w:t>本合同未尽事宜由双方共同协商，另行订立补充协议，补充协议与本协议具有同样的法律效力。如果本合同之附件与本合同规定不符, 以本合同规定为准。</w:t>
      </w:r>
      <w:r>
        <w:rPr>
          <w:rFonts w:hint="eastAsia" w:ascii="仿宋" w:hAnsi="仿宋" w:eastAsia="仿宋" w:cs="仿宋"/>
          <w:b/>
          <w:color w:val="auto"/>
          <w:spacing w:val="0"/>
          <w:sz w:val="24"/>
          <w:szCs w:val="24"/>
          <w:highlight w:val="none"/>
        </w:rPr>
        <w:br w:type="page"/>
      </w:r>
      <w:r>
        <w:rPr>
          <w:rFonts w:hint="eastAsia" w:ascii="仿宋" w:hAnsi="仿宋" w:eastAsia="仿宋" w:cs="仿宋"/>
          <w:b/>
          <w:color w:val="auto"/>
          <w:spacing w:val="0"/>
          <w:sz w:val="24"/>
          <w:szCs w:val="24"/>
          <w:highlight w:val="none"/>
        </w:rPr>
        <w:t>（以下无正文）</w:t>
      </w:r>
    </w:p>
    <w:p w14:paraId="5AA18E75">
      <w:pPr>
        <w:tabs>
          <w:tab w:val="left" w:pos="2100"/>
          <w:tab w:val="left" w:pos="4200"/>
        </w:tabs>
        <w:spacing w:line="480" w:lineRule="auto"/>
        <w:ind w:left="-99" w:leftChars="-135" w:right="-578" w:rightChars="-241" w:hanging="225" w:hangingChars="94"/>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p>
    <w:p w14:paraId="3876A882">
      <w:pPr>
        <w:tabs>
          <w:tab w:val="left" w:pos="2100"/>
          <w:tab w:val="left" w:pos="4200"/>
        </w:tabs>
        <w:spacing w:line="480" w:lineRule="auto"/>
        <w:ind w:left="-84" w:leftChars="-35" w:right="-578" w:rightChars="-241" w:firstLine="803" w:firstLineChars="402"/>
        <w:rPr>
          <w:rFonts w:hint="eastAsia" w:ascii="仿宋" w:hAnsi="仿宋" w:eastAsia="仿宋" w:cs="仿宋"/>
          <w:color w:val="auto"/>
          <w:sz w:val="24"/>
          <w:szCs w:val="24"/>
          <w:highlight w:val="none"/>
        </w:rPr>
      </w:pPr>
      <w:r>
        <w:rPr>
          <w:rFonts w:hint="eastAsia" w:ascii="仿宋" w:hAnsi="仿宋" w:eastAsia="仿宋" w:cs="仿宋"/>
          <w:color w:val="auto"/>
          <w:spacing w:val="-20"/>
          <w:sz w:val="24"/>
          <w:szCs w:val="24"/>
          <w:highlight w:val="none"/>
        </w:rPr>
        <w:t xml:space="preserve">   </w:t>
      </w:r>
      <w:r>
        <w:rPr>
          <w:rFonts w:hint="eastAsia" w:ascii="仿宋" w:hAnsi="仿宋" w:eastAsia="仿宋" w:cs="仿宋"/>
          <w:color w:val="auto"/>
          <w:sz w:val="24"/>
          <w:szCs w:val="24"/>
          <w:highlight w:val="none"/>
        </w:rPr>
        <w:t xml:space="preserve"> </w:t>
      </w:r>
    </w:p>
    <w:p w14:paraId="2406F262">
      <w:pPr>
        <w:tabs>
          <w:tab w:val="left" w:pos="2100"/>
          <w:tab w:val="left" w:pos="4200"/>
        </w:tabs>
        <w:spacing w:line="480" w:lineRule="auto"/>
        <w:ind w:left="5040" w:right="-578" w:rightChars="-241" w:hanging="4320" w:hanging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（盖章）                        （盖章）</w:t>
      </w:r>
    </w:p>
    <w:p w14:paraId="19B28510">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法定代表人或委托代理人：</w:t>
      </w:r>
    </w:p>
    <w:p w14:paraId="68486E8C">
      <w:pPr>
        <w:tabs>
          <w:tab w:val="left" w:pos="2100"/>
          <w:tab w:val="left" w:pos="4200"/>
        </w:tabs>
        <w:spacing w:line="480" w:lineRule="auto"/>
        <w:ind w:left="-103" w:leftChars="-171" w:right="-578" w:rightChars="-241" w:hanging="307" w:hanging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（签字或盖章）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（签字或盖章）                      </w:t>
      </w:r>
    </w:p>
    <w:p w14:paraId="5D2C3B5A">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2FE43490">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邮政编码：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邮政编码：</w:t>
      </w:r>
    </w:p>
    <w:p w14:paraId="29AEF728">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电    话： </w:t>
      </w:r>
    </w:p>
    <w:p w14:paraId="760BD361">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传    真： </w:t>
      </w:r>
    </w:p>
    <w:p w14:paraId="10218B01">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开户开户银行：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开户单位：</w:t>
      </w:r>
      <w:r>
        <w:rPr>
          <w:rFonts w:hint="eastAsia" w:ascii="仿宋" w:hAnsi="仿宋" w:eastAsia="仿宋" w:cs="仿宋"/>
          <w:color w:val="auto"/>
          <w:spacing w:val="-20"/>
          <w:sz w:val="24"/>
          <w:szCs w:val="24"/>
          <w:highlight w:val="none"/>
        </w:rPr>
        <w:t xml:space="preserve"> </w:t>
      </w:r>
    </w:p>
    <w:p w14:paraId="66B81725">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银行银行帐号：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银行帐号：</w:t>
      </w:r>
    </w:p>
    <w:p w14:paraId="5EF0D438">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签约地点：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签约地点：</w:t>
      </w:r>
    </w:p>
    <w:p w14:paraId="0C8FED32">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签约时间：</w:t>
      </w:r>
      <w:r>
        <w:rPr>
          <w:rFonts w:hint="eastAsia" w:ascii="仿宋" w:hAnsi="仿宋" w:eastAsia="仿宋" w:cs="仿宋"/>
          <w:color w:val="auto"/>
          <w:sz w:val="24"/>
          <w:szCs w:val="24"/>
          <w:highlight w:val="none"/>
          <w:lang w:val="en-US" w:eastAsia="zh-CN"/>
        </w:rPr>
        <w:t>2025年</w:t>
      </w:r>
      <w:r>
        <w:rPr>
          <w:rFonts w:hint="eastAsia" w:ascii="仿宋" w:hAnsi="仿宋" w:eastAsia="仿宋" w:cs="仿宋"/>
          <w:color w:val="auto"/>
          <w:sz w:val="24"/>
          <w:szCs w:val="24"/>
          <w:highlight w:val="none"/>
        </w:rPr>
        <w:t xml:space="preserve">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签约时间：</w:t>
      </w:r>
      <w:r>
        <w:rPr>
          <w:rFonts w:hint="eastAsia" w:ascii="仿宋" w:hAnsi="仿宋" w:eastAsia="仿宋" w:cs="仿宋"/>
          <w:color w:val="auto"/>
          <w:sz w:val="24"/>
          <w:szCs w:val="24"/>
          <w:highlight w:val="none"/>
          <w:lang w:val="en-US" w:eastAsia="zh-CN"/>
        </w:rPr>
        <w:t>2025年</w:t>
      </w:r>
      <w:r>
        <w:rPr>
          <w:rFonts w:hint="eastAsia" w:ascii="仿宋" w:hAnsi="仿宋" w:eastAsia="仿宋" w:cs="仿宋"/>
          <w:color w:val="auto"/>
          <w:sz w:val="24"/>
          <w:szCs w:val="24"/>
          <w:highlight w:val="none"/>
        </w:rPr>
        <w:t xml:space="preserve">  月  日</w:t>
      </w:r>
    </w:p>
    <w:p w14:paraId="34C02719">
      <w:pPr>
        <w:pStyle w:val="3"/>
        <w:numPr>
          <w:ilvl w:val="0"/>
          <w:numId w:val="0"/>
        </w:numPr>
        <w:bidi w:val="0"/>
        <w:jc w:val="center"/>
        <w:rPr>
          <w:rFonts w:hint="eastAsia" w:ascii="仿宋" w:hAnsi="仿宋" w:eastAsia="仿宋" w:cs="仿宋"/>
          <w:b/>
          <w:bCs/>
          <w:color w:val="auto"/>
          <w:sz w:val="36"/>
          <w:szCs w:val="36"/>
          <w:highlight w:val="none"/>
          <w:lang w:eastAsia="zh-CN"/>
        </w:rPr>
        <w:sectPr>
          <w:footnotePr>
            <w:numFmt w:val="decimal"/>
          </w:footnotePr>
          <w:pgSz w:w="11900" w:h="16840"/>
          <w:pgMar w:top="1417" w:right="1417" w:bottom="1417" w:left="1417" w:header="819" w:footer="823" w:gutter="0"/>
          <w:pgNumType w:fmt="decimal"/>
          <w:cols w:space="720" w:num="1"/>
          <w:rtlGutter w:val="0"/>
          <w:docGrid w:linePitch="360" w:charSpace="0"/>
        </w:sectPr>
      </w:pPr>
    </w:p>
    <w:p w14:paraId="357CEE2E">
      <w:pPr>
        <w:spacing w:line="360" w:lineRule="auto"/>
        <w:jc w:val="center"/>
        <w:rPr>
          <w:rFonts w:hint="eastAsia" w:ascii="仿宋" w:hAnsi="仿宋" w:eastAsia="仿宋" w:cs="仿宋"/>
          <w:b/>
          <w:bCs/>
          <w:sz w:val="28"/>
          <w:szCs w:val="21"/>
          <w:lang w:val="en-US" w:eastAsia="zh-CN"/>
        </w:rPr>
      </w:pPr>
      <w:r>
        <w:rPr>
          <w:rFonts w:hint="eastAsia" w:ascii="仿宋" w:hAnsi="仿宋" w:eastAsia="仿宋" w:cs="仿宋"/>
          <w:b/>
          <w:bCs/>
          <w:sz w:val="28"/>
          <w:szCs w:val="21"/>
          <w:lang w:val="en-US" w:eastAsia="zh-CN"/>
        </w:rPr>
        <w:t>适用于合同包2</w:t>
      </w:r>
    </w:p>
    <w:p w14:paraId="7E44EFB8">
      <w:pPr>
        <w:pStyle w:val="2"/>
        <w:rPr>
          <w:rFonts w:hint="eastAsia" w:ascii="仿宋" w:hAnsi="仿宋" w:eastAsia="仿宋" w:cs="仿宋"/>
          <w:b/>
          <w:bCs/>
          <w:sz w:val="28"/>
          <w:szCs w:val="21"/>
          <w:lang w:val="en-US" w:eastAsia="zh-CN"/>
        </w:rPr>
      </w:pPr>
    </w:p>
    <w:p w14:paraId="20744AB2">
      <w:pPr>
        <w:shd w:val="clear" w:color="auto" w:fill="FFFFFF"/>
        <w:snapToGrid w:val="0"/>
        <w:spacing w:line="48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甲方：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p w14:paraId="2C7AD085">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乙方：</w:t>
      </w:r>
      <w:r>
        <w:rPr>
          <w:rFonts w:hint="eastAsia" w:ascii="仿宋_GB2312" w:hAnsi="仿宋_GB2312" w:eastAsia="仿宋_GB2312" w:cs="仿宋_GB2312"/>
          <w:sz w:val="24"/>
          <w:u w:val="single"/>
        </w:rPr>
        <w:t xml:space="preserve">                                    </w:t>
      </w:r>
    </w:p>
    <w:p w14:paraId="1575073A">
      <w:pPr>
        <w:shd w:val="clear" w:color="auto" w:fill="FFFFFF"/>
        <w:snapToGrid w:val="0"/>
        <w:spacing w:line="360" w:lineRule="auto"/>
        <w:ind w:firstLine="600" w:firstLineChars="250"/>
        <w:jc w:val="left"/>
        <w:rPr>
          <w:rFonts w:hint="eastAsia" w:ascii="仿宋_GB2312" w:hAnsi="仿宋_GB2312" w:eastAsia="仿宋_GB2312" w:cs="仿宋_GB2312"/>
          <w:sz w:val="24"/>
        </w:rPr>
      </w:pPr>
      <w:r>
        <w:rPr>
          <w:rFonts w:hint="eastAsia" w:ascii="仿宋_GB2312" w:hAnsi="仿宋_GB2312" w:eastAsia="仿宋_GB2312" w:cs="仿宋_GB2312"/>
          <w:sz w:val="24"/>
        </w:rPr>
        <w:t>依据《中华人民共和国</w:t>
      </w:r>
      <w:r>
        <w:rPr>
          <w:rFonts w:hint="eastAsia" w:ascii="仿宋_GB2312" w:hAnsi="仿宋_GB2312" w:eastAsia="仿宋_GB2312" w:cs="仿宋_GB2312"/>
          <w:sz w:val="24"/>
          <w:lang w:val="en-US" w:eastAsia="zh-CN"/>
        </w:rPr>
        <w:t>民法典</w:t>
      </w:r>
      <w:r>
        <w:rPr>
          <w:rFonts w:hint="eastAsia" w:ascii="仿宋_GB2312" w:hAnsi="仿宋_GB2312" w:eastAsia="仿宋_GB2312" w:cs="仿宋_GB2312"/>
          <w:sz w:val="24"/>
        </w:rPr>
        <w:t>》及其他有关法律法规，遵循平等、自愿、公平和诚实信用的原则，甲、乙双方就</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14:paraId="33F21F6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一、项目范围</w:t>
      </w:r>
    </w:p>
    <w:p w14:paraId="5C4F4E23">
      <w:pPr>
        <w:shd w:val="clear" w:color="auto" w:fill="FFFFFF"/>
        <w:snapToGrid w:val="0"/>
        <w:spacing w:line="360" w:lineRule="auto"/>
        <w:ind w:firstLine="480" w:firstLineChars="200"/>
        <w:rPr>
          <w:rFonts w:hint="eastAsia" w:ascii="仿宋_GB2312" w:hAnsi="仿宋_GB2312" w:eastAsia="仿宋_GB2312" w:cs="仿宋_GB2312"/>
          <w:sz w:val="24"/>
          <w:u w:val="single"/>
        </w:rPr>
      </w:pPr>
      <w:r>
        <w:rPr>
          <w:rFonts w:hint="eastAsia" w:ascii="仿宋_GB2312" w:hAnsi="仿宋_GB2312" w:eastAsia="仿宋_GB2312" w:cs="仿宋_GB2312"/>
          <w:sz w:val="24"/>
        </w:rPr>
        <w:t>本项目包括如下内容：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p>
    <w:p w14:paraId="645B9922">
      <w:pPr>
        <w:spacing w:line="360" w:lineRule="auto"/>
        <w:jc w:val="both"/>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rPr>
        <w:t>二、项目</w:t>
      </w:r>
      <w:r>
        <w:rPr>
          <w:rFonts w:hint="eastAsia" w:ascii="仿宋_GB2312" w:hAnsi="仿宋_GB2312" w:eastAsia="仿宋_GB2312" w:cs="仿宋_GB2312"/>
          <w:b/>
          <w:bCs/>
          <w:sz w:val="24"/>
          <w:lang w:val="en-US" w:eastAsia="zh-CN"/>
        </w:rPr>
        <w:t>服务期</w:t>
      </w:r>
    </w:p>
    <w:p w14:paraId="764C2008">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本项目</w:t>
      </w:r>
      <w:r>
        <w:rPr>
          <w:rFonts w:hint="eastAsia" w:ascii="仿宋_GB2312" w:hAnsi="仿宋_GB2312" w:eastAsia="仿宋_GB2312" w:cs="仿宋_GB2312"/>
          <w:sz w:val="24"/>
          <w:lang w:val="en-US" w:eastAsia="zh-CN"/>
        </w:rPr>
        <w:t>服务期</w:t>
      </w:r>
      <w:r>
        <w:rPr>
          <w:rFonts w:hint="eastAsia" w:ascii="仿宋_GB2312" w:hAnsi="仿宋_GB2312" w:eastAsia="仿宋_GB2312" w:cs="仿宋_GB2312"/>
          <w:sz w:val="24"/>
        </w:rPr>
        <w:t>为：</w:t>
      </w:r>
      <w:r>
        <w:rPr>
          <w:rFonts w:hint="eastAsia" w:ascii="仿宋_GB2312" w:hAnsi="仿宋_GB2312" w:eastAsia="仿宋_GB2312" w:cs="仿宋_GB2312"/>
          <w:sz w:val="24"/>
          <w:lang w:val="en-US" w:eastAsia="zh-CN"/>
        </w:rPr>
        <w:t>1</w:t>
      </w:r>
      <w:r>
        <w:rPr>
          <w:rFonts w:hint="eastAsia" w:ascii="仿宋_GB2312" w:hAnsi="仿宋_GB2312" w:eastAsia="仿宋_GB2312" w:cs="仿宋_GB2312"/>
          <w:sz w:val="24"/>
        </w:rPr>
        <w:t>年。</w:t>
      </w:r>
    </w:p>
    <w:p w14:paraId="52D32B0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三、合同文件及解释</w:t>
      </w:r>
    </w:p>
    <w:p w14:paraId="12ABD26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合同协议书</w:t>
      </w:r>
    </w:p>
    <w:p w14:paraId="70DCE48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通知书</w:t>
      </w:r>
    </w:p>
    <w:p w14:paraId="4D77888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竞争性磋商</w:t>
      </w:r>
      <w:r>
        <w:rPr>
          <w:rFonts w:hint="eastAsia" w:ascii="仿宋_GB2312" w:hAnsi="仿宋_GB2312" w:eastAsia="仿宋_GB2312" w:cs="仿宋_GB2312"/>
          <w:kern w:val="28"/>
          <w:sz w:val="24"/>
        </w:rPr>
        <w:t>文件及澄清补遗文件</w:t>
      </w:r>
    </w:p>
    <w:p w14:paraId="3172017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单位</w:t>
      </w:r>
      <w:r>
        <w:rPr>
          <w:rFonts w:hint="eastAsia" w:ascii="仿宋_GB2312" w:hAnsi="仿宋_GB2312" w:eastAsia="仿宋_GB2312" w:cs="仿宋_GB2312"/>
          <w:kern w:val="28"/>
          <w:sz w:val="24"/>
          <w:lang w:val="en-US" w:eastAsia="zh-CN"/>
        </w:rPr>
        <w:t>磋商响应</w:t>
      </w:r>
      <w:r>
        <w:rPr>
          <w:rFonts w:hint="eastAsia" w:ascii="仿宋_GB2312" w:hAnsi="仿宋_GB2312" w:eastAsia="仿宋_GB2312" w:cs="仿宋_GB2312"/>
          <w:kern w:val="28"/>
          <w:sz w:val="24"/>
        </w:rPr>
        <w:t>文件</w:t>
      </w:r>
    </w:p>
    <w:p w14:paraId="37498E13">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技术标准、规范。</w:t>
      </w:r>
    </w:p>
    <w:p w14:paraId="3C567F1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其他合同文件</w:t>
      </w:r>
    </w:p>
    <w:p w14:paraId="714E056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四、合同价款、结算与支付</w:t>
      </w:r>
    </w:p>
    <w:p w14:paraId="6FA54B53">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1、本合同总价款</w:t>
      </w:r>
    </w:p>
    <w:p w14:paraId="063CAF9D">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eastAsia="zh-CN"/>
        </w:rPr>
        <w:t>　　</w:t>
      </w:r>
      <w:r>
        <w:rPr>
          <w:rFonts w:hint="eastAsia" w:ascii="仿宋_GB2312" w:hAnsi="仿宋_GB2312" w:eastAsia="仿宋_GB2312" w:cs="仿宋_GB2312"/>
          <w:kern w:val="28"/>
          <w:sz w:val="24"/>
          <w:highlight w:val="none"/>
        </w:rPr>
        <w:t>本合同总价款为</w:t>
      </w:r>
      <w:r>
        <w:rPr>
          <w:rFonts w:hint="eastAsia" w:ascii="仿宋_GB2312" w:hAnsi="仿宋_GB2312" w:eastAsia="仿宋_GB2312" w:cs="仿宋_GB2312"/>
          <w:b/>
          <w:kern w:val="28"/>
          <w:sz w:val="24"/>
          <w:highlight w:val="none"/>
          <w:u w:val="single"/>
        </w:rPr>
        <w:t>RMB            （人民币大写：         )</w:t>
      </w:r>
      <w:r>
        <w:rPr>
          <w:rFonts w:hint="eastAsia" w:ascii="仿宋_GB2312" w:hAnsi="仿宋_GB2312" w:eastAsia="仿宋_GB2312" w:cs="仿宋_GB2312"/>
          <w:kern w:val="28"/>
          <w:sz w:val="24"/>
          <w:highlight w:val="none"/>
        </w:rPr>
        <w:t>该合同总价包括承接甲方项目所承担的全过程的一切费用。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0"/>
        <w:gridCol w:w="1350"/>
        <w:gridCol w:w="960"/>
        <w:gridCol w:w="765"/>
        <w:gridCol w:w="1005"/>
        <w:gridCol w:w="1515"/>
        <w:gridCol w:w="1345"/>
      </w:tblGrid>
      <w:tr w14:paraId="11AA3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086B3F77">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序号</w:t>
            </w:r>
          </w:p>
        </w:tc>
        <w:tc>
          <w:tcPr>
            <w:tcW w:w="1410" w:type="dxa"/>
            <w:noWrap w:val="0"/>
            <w:vAlign w:val="center"/>
          </w:tcPr>
          <w:p w14:paraId="5DC37EE8">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服务名称</w:t>
            </w:r>
          </w:p>
        </w:tc>
        <w:tc>
          <w:tcPr>
            <w:tcW w:w="1350" w:type="dxa"/>
            <w:noWrap w:val="0"/>
            <w:vAlign w:val="center"/>
          </w:tcPr>
          <w:p w14:paraId="2A88D83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主要技术/服务指标</w:t>
            </w:r>
          </w:p>
        </w:tc>
        <w:tc>
          <w:tcPr>
            <w:tcW w:w="960" w:type="dxa"/>
            <w:noWrap w:val="0"/>
            <w:vAlign w:val="center"/>
          </w:tcPr>
          <w:p w14:paraId="70EFA80A">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单位</w:t>
            </w:r>
          </w:p>
        </w:tc>
        <w:tc>
          <w:tcPr>
            <w:tcW w:w="765" w:type="dxa"/>
            <w:noWrap w:val="0"/>
            <w:vAlign w:val="center"/>
          </w:tcPr>
          <w:p w14:paraId="76CCF7E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数量</w:t>
            </w:r>
          </w:p>
        </w:tc>
        <w:tc>
          <w:tcPr>
            <w:tcW w:w="1005" w:type="dxa"/>
            <w:noWrap w:val="0"/>
            <w:vAlign w:val="center"/>
          </w:tcPr>
          <w:p w14:paraId="6F4DB73E">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单价（元）</w:t>
            </w:r>
          </w:p>
        </w:tc>
        <w:tc>
          <w:tcPr>
            <w:tcW w:w="1515" w:type="dxa"/>
            <w:noWrap w:val="0"/>
            <w:vAlign w:val="center"/>
          </w:tcPr>
          <w:p w14:paraId="713F9384">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合价（元）</w:t>
            </w:r>
          </w:p>
        </w:tc>
        <w:tc>
          <w:tcPr>
            <w:tcW w:w="1345" w:type="dxa"/>
            <w:noWrap w:val="0"/>
            <w:vAlign w:val="center"/>
          </w:tcPr>
          <w:p w14:paraId="089B599A">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14:paraId="78AF6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5ECDE242">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410" w:type="dxa"/>
            <w:noWrap w:val="0"/>
            <w:vAlign w:val="center"/>
          </w:tcPr>
          <w:p w14:paraId="1DCFD377">
            <w:pPr>
              <w:spacing w:line="440" w:lineRule="exact"/>
              <w:jc w:val="center"/>
              <w:rPr>
                <w:rFonts w:hint="eastAsia" w:ascii="仿宋_GB2312" w:hAnsi="仿宋_GB2312" w:eastAsia="仿宋_GB2312" w:cs="仿宋_GB2312"/>
                <w:bCs/>
                <w:sz w:val="24"/>
              </w:rPr>
            </w:pPr>
          </w:p>
        </w:tc>
        <w:tc>
          <w:tcPr>
            <w:tcW w:w="1350" w:type="dxa"/>
            <w:noWrap w:val="0"/>
            <w:vAlign w:val="center"/>
          </w:tcPr>
          <w:p w14:paraId="3CA51F1B">
            <w:pPr>
              <w:spacing w:line="440" w:lineRule="exact"/>
              <w:jc w:val="center"/>
              <w:rPr>
                <w:rFonts w:hint="eastAsia" w:ascii="仿宋_GB2312" w:hAnsi="仿宋_GB2312" w:eastAsia="仿宋_GB2312" w:cs="仿宋_GB2312"/>
                <w:bCs/>
                <w:sz w:val="24"/>
              </w:rPr>
            </w:pPr>
          </w:p>
        </w:tc>
        <w:tc>
          <w:tcPr>
            <w:tcW w:w="960" w:type="dxa"/>
            <w:noWrap w:val="0"/>
            <w:vAlign w:val="center"/>
          </w:tcPr>
          <w:p w14:paraId="08C9C94A">
            <w:pPr>
              <w:spacing w:line="440" w:lineRule="exact"/>
              <w:jc w:val="center"/>
              <w:rPr>
                <w:rFonts w:hint="eastAsia" w:ascii="仿宋_GB2312" w:hAnsi="仿宋_GB2312" w:eastAsia="仿宋_GB2312" w:cs="仿宋_GB2312"/>
                <w:bCs/>
                <w:sz w:val="24"/>
              </w:rPr>
            </w:pPr>
          </w:p>
        </w:tc>
        <w:tc>
          <w:tcPr>
            <w:tcW w:w="765" w:type="dxa"/>
            <w:noWrap w:val="0"/>
            <w:vAlign w:val="center"/>
          </w:tcPr>
          <w:p w14:paraId="7EC1D836">
            <w:pPr>
              <w:spacing w:line="440" w:lineRule="exact"/>
              <w:jc w:val="center"/>
              <w:rPr>
                <w:rFonts w:hint="eastAsia" w:ascii="仿宋_GB2312" w:hAnsi="仿宋_GB2312" w:eastAsia="仿宋_GB2312" w:cs="仿宋_GB2312"/>
                <w:bCs/>
                <w:sz w:val="24"/>
              </w:rPr>
            </w:pPr>
          </w:p>
        </w:tc>
        <w:tc>
          <w:tcPr>
            <w:tcW w:w="1005" w:type="dxa"/>
            <w:noWrap w:val="0"/>
            <w:vAlign w:val="center"/>
          </w:tcPr>
          <w:p w14:paraId="517587A0">
            <w:pPr>
              <w:spacing w:line="440" w:lineRule="exact"/>
              <w:jc w:val="center"/>
              <w:rPr>
                <w:rFonts w:hint="eastAsia" w:ascii="仿宋_GB2312" w:hAnsi="仿宋_GB2312" w:eastAsia="仿宋_GB2312" w:cs="仿宋_GB2312"/>
                <w:bCs/>
                <w:sz w:val="24"/>
              </w:rPr>
            </w:pPr>
          </w:p>
        </w:tc>
        <w:tc>
          <w:tcPr>
            <w:tcW w:w="1515" w:type="dxa"/>
            <w:noWrap w:val="0"/>
            <w:vAlign w:val="center"/>
          </w:tcPr>
          <w:p w14:paraId="0BF7DCC6">
            <w:pPr>
              <w:spacing w:line="440" w:lineRule="exact"/>
              <w:jc w:val="center"/>
              <w:rPr>
                <w:rFonts w:hint="eastAsia" w:ascii="仿宋_GB2312" w:hAnsi="仿宋_GB2312" w:eastAsia="仿宋_GB2312" w:cs="仿宋_GB2312"/>
                <w:bCs/>
                <w:sz w:val="24"/>
              </w:rPr>
            </w:pPr>
          </w:p>
        </w:tc>
        <w:tc>
          <w:tcPr>
            <w:tcW w:w="1345" w:type="dxa"/>
            <w:noWrap w:val="0"/>
            <w:vAlign w:val="center"/>
          </w:tcPr>
          <w:p w14:paraId="51045C52">
            <w:pPr>
              <w:spacing w:line="440" w:lineRule="exact"/>
              <w:jc w:val="center"/>
              <w:rPr>
                <w:rFonts w:hint="eastAsia" w:ascii="仿宋_GB2312" w:hAnsi="仿宋_GB2312" w:eastAsia="仿宋_GB2312" w:cs="仿宋_GB2312"/>
                <w:bCs/>
                <w:sz w:val="24"/>
              </w:rPr>
            </w:pPr>
          </w:p>
        </w:tc>
      </w:tr>
      <w:tr w14:paraId="382D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767887B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410" w:type="dxa"/>
            <w:noWrap w:val="0"/>
            <w:vAlign w:val="center"/>
          </w:tcPr>
          <w:p w14:paraId="257B5BDD">
            <w:pPr>
              <w:spacing w:line="440" w:lineRule="exact"/>
              <w:jc w:val="center"/>
              <w:rPr>
                <w:rFonts w:hint="eastAsia" w:ascii="仿宋_GB2312" w:hAnsi="仿宋_GB2312" w:eastAsia="仿宋_GB2312" w:cs="仿宋_GB2312"/>
                <w:bCs/>
                <w:sz w:val="24"/>
              </w:rPr>
            </w:pPr>
          </w:p>
        </w:tc>
        <w:tc>
          <w:tcPr>
            <w:tcW w:w="1350" w:type="dxa"/>
            <w:noWrap w:val="0"/>
            <w:vAlign w:val="center"/>
          </w:tcPr>
          <w:p w14:paraId="4941F948">
            <w:pPr>
              <w:spacing w:line="440" w:lineRule="exact"/>
              <w:jc w:val="center"/>
              <w:rPr>
                <w:rFonts w:hint="eastAsia" w:ascii="仿宋_GB2312" w:hAnsi="仿宋_GB2312" w:eastAsia="仿宋_GB2312" w:cs="仿宋_GB2312"/>
                <w:bCs/>
                <w:sz w:val="24"/>
              </w:rPr>
            </w:pPr>
          </w:p>
        </w:tc>
        <w:tc>
          <w:tcPr>
            <w:tcW w:w="960" w:type="dxa"/>
            <w:noWrap w:val="0"/>
            <w:vAlign w:val="center"/>
          </w:tcPr>
          <w:p w14:paraId="4592AA75">
            <w:pPr>
              <w:spacing w:line="440" w:lineRule="exact"/>
              <w:jc w:val="center"/>
              <w:rPr>
                <w:rFonts w:hint="eastAsia" w:ascii="仿宋_GB2312" w:hAnsi="仿宋_GB2312" w:eastAsia="仿宋_GB2312" w:cs="仿宋_GB2312"/>
                <w:bCs/>
                <w:sz w:val="24"/>
              </w:rPr>
            </w:pPr>
          </w:p>
        </w:tc>
        <w:tc>
          <w:tcPr>
            <w:tcW w:w="765" w:type="dxa"/>
            <w:noWrap w:val="0"/>
            <w:vAlign w:val="center"/>
          </w:tcPr>
          <w:p w14:paraId="1826E980">
            <w:pPr>
              <w:spacing w:line="440" w:lineRule="exact"/>
              <w:jc w:val="center"/>
              <w:rPr>
                <w:rFonts w:hint="eastAsia" w:ascii="仿宋_GB2312" w:hAnsi="仿宋_GB2312" w:eastAsia="仿宋_GB2312" w:cs="仿宋_GB2312"/>
                <w:bCs/>
                <w:sz w:val="24"/>
              </w:rPr>
            </w:pPr>
          </w:p>
        </w:tc>
        <w:tc>
          <w:tcPr>
            <w:tcW w:w="1005" w:type="dxa"/>
            <w:noWrap w:val="0"/>
            <w:vAlign w:val="center"/>
          </w:tcPr>
          <w:p w14:paraId="637C340C">
            <w:pPr>
              <w:spacing w:line="440" w:lineRule="exact"/>
              <w:jc w:val="center"/>
              <w:rPr>
                <w:rFonts w:hint="eastAsia" w:ascii="仿宋_GB2312" w:hAnsi="仿宋_GB2312" w:eastAsia="仿宋_GB2312" w:cs="仿宋_GB2312"/>
                <w:bCs/>
                <w:sz w:val="24"/>
              </w:rPr>
            </w:pPr>
          </w:p>
        </w:tc>
        <w:tc>
          <w:tcPr>
            <w:tcW w:w="1515" w:type="dxa"/>
            <w:noWrap w:val="0"/>
            <w:vAlign w:val="center"/>
          </w:tcPr>
          <w:p w14:paraId="2F6DBA89">
            <w:pPr>
              <w:spacing w:line="440" w:lineRule="exact"/>
              <w:jc w:val="center"/>
              <w:rPr>
                <w:rFonts w:hint="eastAsia" w:ascii="仿宋_GB2312" w:hAnsi="仿宋_GB2312" w:eastAsia="仿宋_GB2312" w:cs="仿宋_GB2312"/>
                <w:bCs/>
                <w:sz w:val="24"/>
              </w:rPr>
            </w:pPr>
          </w:p>
        </w:tc>
        <w:tc>
          <w:tcPr>
            <w:tcW w:w="1345" w:type="dxa"/>
            <w:noWrap w:val="0"/>
            <w:vAlign w:val="center"/>
          </w:tcPr>
          <w:p w14:paraId="7A583200">
            <w:pPr>
              <w:spacing w:line="440" w:lineRule="exact"/>
              <w:jc w:val="center"/>
              <w:rPr>
                <w:rFonts w:hint="eastAsia" w:ascii="仿宋_GB2312" w:hAnsi="仿宋_GB2312" w:eastAsia="仿宋_GB2312" w:cs="仿宋_GB2312"/>
                <w:bCs/>
                <w:sz w:val="24"/>
              </w:rPr>
            </w:pPr>
          </w:p>
        </w:tc>
      </w:tr>
      <w:tr w14:paraId="6FA9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6" w:type="dxa"/>
            <w:gridSpan w:val="2"/>
            <w:noWrap w:val="0"/>
            <w:vAlign w:val="center"/>
          </w:tcPr>
          <w:p w14:paraId="213BD3E1">
            <w:pPr>
              <w:spacing w:line="440" w:lineRule="exact"/>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合计金额（元）</w:t>
            </w:r>
          </w:p>
        </w:tc>
        <w:tc>
          <w:tcPr>
            <w:tcW w:w="1350" w:type="dxa"/>
            <w:noWrap w:val="0"/>
            <w:vAlign w:val="center"/>
          </w:tcPr>
          <w:p w14:paraId="17BC1D37">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大写</w:t>
            </w:r>
          </w:p>
        </w:tc>
        <w:tc>
          <w:tcPr>
            <w:tcW w:w="2730" w:type="dxa"/>
            <w:gridSpan w:val="3"/>
            <w:noWrap w:val="0"/>
            <w:vAlign w:val="center"/>
          </w:tcPr>
          <w:p w14:paraId="4D4DEEEA">
            <w:pPr>
              <w:spacing w:line="440" w:lineRule="exact"/>
              <w:jc w:val="center"/>
              <w:rPr>
                <w:rFonts w:hint="eastAsia" w:ascii="仿宋_GB2312" w:hAnsi="仿宋_GB2312" w:eastAsia="仿宋_GB2312" w:cs="仿宋_GB2312"/>
                <w:bCs/>
                <w:sz w:val="24"/>
              </w:rPr>
            </w:pPr>
          </w:p>
        </w:tc>
        <w:tc>
          <w:tcPr>
            <w:tcW w:w="1515" w:type="dxa"/>
            <w:noWrap w:val="0"/>
            <w:vAlign w:val="center"/>
          </w:tcPr>
          <w:p w14:paraId="3C1D6C3B">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小写</w:t>
            </w:r>
          </w:p>
        </w:tc>
        <w:tc>
          <w:tcPr>
            <w:tcW w:w="1345" w:type="dxa"/>
            <w:noWrap w:val="0"/>
            <w:vAlign w:val="center"/>
          </w:tcPr>
          <w:p w14:paraId="409D5A28">
            <w:pPr>
              <w:spacing w:line="440" w:lineRule="exact"/>
              <w:jc w:val="center"/>
              <w:rPr>
                <w:rFonts w:hint="eastAsia" w:ascii="仿宋_GB2312" w:hAnsi="仿宋_GB2312" w:eastAsia="仿宋_GB2312" w:cs="仿宋_GB2312"/>
                <w:bCs/>
                <w:sz w:val="24"/>
              </w:rPr>
            </w:pPr>
          </w:p>
        </w:tc>
      </w:tr>
      <w:tr w14:paraId="31FD9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256" w:type="dxa"/>
            <w:gridSpan w:val="2"/>
            <w:noWrap w:val="0"/>
            <w:vAlign w:val="center"/>
          </w:tcPr>
          <w:p w14:paraId="4590DB8D">
            <w:pPr>
              <w:spacing w:line="440" w:lineRule="exact"/>
              <w:jc w:val="center"/>
              <w:rPr>
                <w:rFonts w:hint="eastAsia" w:ascii="仿宋_GB2312" w:hAnsi="仿宋_GB2312" w:eastAsia="仿宋_GB2312" w:cs="仿宋_GB2312"/>
                <w:bCs/>
                <w:sz w:val="24"/>
                <w:lang w:eastAsia="zh-CN"/>
              </w:rPr>
            </w:pPr>
            <w:r>
              <w:rPr>
                <w:rFonts w:hint="eastAsia" w:ascii="仿宋_GB2312" w:hAnsi="宋体" w:eastAsia="仿宋_GB2312" w:cs="宋体"/>
                <w:color w:val="auto"/>
                <w:sz w:val="24"/>
                <w:highlight w:val="none"/>
                <w:lang w:val="en-US" w:eastAsia="zh-CN"/>
              </w:rPr>
              <w:t>服务期</w:t>
            </w:r>
          </w:p>
        </w:tc>
        <w:tc>
          <w:tcPr>
            <w:tcW w:w="6940" w:type="dxa"/>
            <w:gridSpan w:val="6"/>
            <w:noWrap w:val="0"/>
            <w:vAlign w:val="center"/>
          </w:tcPr>
          <w:p w14:paraId="566C48B2">
            <w:pPr>
              <w:spacing w:line="440" w:lineRule="exact"/>
              <w:jc w:val="center"/>
              <w:rPr>
                <w:rFonts w:hint="eastAsia" w:ascii="仿宋_GB2312" w:hAnsi="仿宋_GB2312" w:eastAsia="仿宋_GB2312" w:cs="仿宋_GB2312"/>
                <w:bCs/>
                <w:sz w:val="24"/>
              </w:rPr>
            </w:pPr>
          </w:p>
        </w:tc>
      </w:tr>
      <w:tr w14:paraId="76B5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6" w:type="dxa"/>
            <w:gridSpan w:val="2"/>
            <w:noWrap w:val="0"/>
            <w:vAlign w:val="center"/>
          </w:tcPr>
          <w:p w14:paraId="04B46304">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其它</w:t>
            </w:r>
          </w:p>
        </w:tc>
        <w:tc>
          <w:tcPr>
            <w:tcW w:w="6940" w:type="dxa"/>
            <w:gridSpan w:val="6"/>
            <w:noWrap w:val="0"/>
            <w:vAlign w:val="center"/>
          </w:tcPr>
          <w:p w14:paraId="0C1A753B">
            <w:pPr>
              <w:spacing w:line="440" w:lineRule="exact"/>
              <w:jc w:val="center"/>
              <w:rPr>
                <w:rFonts w:hint="eastAsia" w:ascii="仿宋_GB2312" w:hAnsi="仿宋_GB2312" w:eastAsia="仿宋_GB2312" w:cs="仿宋_GB2312"/>
                <w:bCs/>
                <w:sz w:val="24"/>
              </w:rPr>
            </w:pPr>
          </w:p>
        </w:tc>
      </w:tr>
    </w:tbl>
    <w:p w14:paraId="2F57F4E6">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28"/>
          <w:sz w:val="24"/>
          <w:lang w:eastAsia="zh-CN"/>
        </w:rPr>
        <w:t>　　</w:t>
      </w:r>
      <w:r>
        <w:rPr>
          <w:rFonts w:hint="eastAsia" w:ascii="仿宋_GB2312" w:hAnsi="仿宋_GB2312" w:eastAsia="仿宋_GB2312" w:cs="仿宋_GB2312"/>
          <w:kern w:val="28"/>
          <w:sz w:val="24"/>
        </w:rPr>
        <w:t>2、付款方式:</w:t>
      </w:r>
      <w:r>
        <w:rPr>
          <w:rFonts w:hint="eastAsia" w:ascii="仿宋_GB2312" w:hAnsi="仿宋_GB2312" w:eastAsia="仿宋_GB2312" w:cs="仿宋_GB2312"/>
          <w:kern w:val="28"/>
          <w:sz w:val="24"/>
          <w:u w:val="single"/>
          <w:lang w:val="en-US" w:eastAsia="zh-CN"/>
        </w:rPr>
        <w:t xml:space="preserve">                   </w:t>
      </w:r>
      <w:r>
        <w:rPr>
          <w:rFonts w:hint="eastAsia" w:ascii="仿宋_GB2312" w:hAnsi="仿宋_GB2312" w:eastAsia="仿宋_GB2312" w:cs="仿宋_GB2312"/>
          <w:sz w:val="24"/>
        </w:rPr>
        <w:t>。</w:t>
      </w:r>
    </w:p>
    <w:p w14:paraId="35252873">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五、权利与义务</w:t>
      </w:r>
      <w:bookmarkStart w:id="2" w:name="_Toc8663"/>
    </w:p>
    <w:bookmarkEnd w:id="2"/>
    <w:p w14:paraId="57A1AE38">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742D85D7">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1、甲方有权利对乙方指派工作人员进行业务培训及指导，有权向乙方提出指派工作人员管理的意见和建议，并教育督促本单位员工支持配合乙方指派工作人员履行职责。</w:t>
      </w:r>
    </w:p>
    <w:p w14:paraId="5E0A5C2B">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2、甲方有权对乙方指派工作人员进行工作安排、调度、监督和考核其工作质量。</w:t>
      </w:r>
    </w:p>
    <w:p w14:paraId="401A06C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3、甲方有权根据工作需要和乙方指派工作人员的工作表现，调整乙方指派工作人员的工作岗位并告知乙方，由乙方负责与指派工作人员协商。</w:t>
      </w:r>
    </w:p>
    <w:p w14:paraId="327A1E62">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4、如果由于乙方的责任而造成甲方不能按时付款的，甲方不承担违约责任。</w:t>
      </w:r>
    </w:p>
    <w:p w14:paraId="725EAAD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5、甲方有权审定乙方提交的服务方案、制度及其他管理规定。</w:t>
      </w:r>
    </w:p>
    <w:p w14:paraId="3497102E">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6、甲方有权检查、监督、考核乙方服务的实施和管理制度的执行情况。</w:t>
      </w:r>
    </w:p>
    <w:p w14:paraId="33EC297C">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7、甲方有权审核乙方年度工作计划、工作报告，并提出整改意见。</w:t>
      </w:r>
    </w:p>
    <w:p w14:paraId="0BB1671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8、乙方未按本合同及</w:t>
      </w:r>
      <w:r>
        <w:rPr>
          <w:rFonts w:hint="eastAsia" w:ascii="仿宋" w:hAnsi="仿宋" w:eastAsia="仿宋" w:cs="仿宋"/>
          <w:color w:val="000000"/>
          <w:sz w:val="24"/>
          <w:szCs w:val="24"/>
          <w:lang w:val="en-US" w:eastAsia="zh-CN"/>
        </w:rPr>
        <w:t>竞争性磋商文件</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磋商响应</w:t>
      </w:r>
      <w:r>
        <w:rPr>
          <w:rFonts w:hint="eastAsia" w:ascii="仿宋" w:hAnsi="仿宋" w:eastAsia="仿宋" w:cs="仿宋"/>
          <w:color w:val="000000"/>
          <w:sz w:val="24"/>
          <w:szCs w:val="24"/>
        </w:rPr>
        <w:t>文件的约定履行的，甲方有权进行催告，乙方未按甲方要求整改的，甲方有权解除本合同，</w:t>
      </w:r>
      <w:bookmarkStart w:id="3" w:name="_Hlk536616865"/>
      <w:r>
        <w:rPr>
          <w:rFonts w:hint="eastAsia" w:ascii="仿宋" w:hAnsi="仿宋" w:eastAsia="仿宋" w:cs="仿宋"/>
          <w:color w:val="000000"/>
          <w:sz w:val="24"/>
          <w:szCs w:val="24"/>
        </w:rPr>
        <w:t>未支付的费用不予支付，</w:t>
      </w:r>
      <w:bookmarkEnd w:id="3"/>
      <w:r>
        <w:rPr>
          <w:rFonts w:hint="eastAsia" w:ascii="仿宋" w:hAnsi="仿宋" w:eastAsia="仿宋" w:cs="仿宋"/>
          <w:color w:val="000000"/>
          <w:sz w:val="24"/>
          <w:szCs w:val="24"/>
        </w:rPr>
        <w:t>甲方还有权要求乙方赔偿全部直接和间接损失。</w:t>
      </w:r>
    </w:p>
    <w:p w14:paraId="19924086">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(二)乙方的权利和义务</w:t>
      </w:r>
    </w:p>
    <w:p w14:paraId="235FD8FE">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乙方应按照甲方的要求指派合格并满足甲方要求的工作人员，并对其指派工作人员进行经常性的职业道德教育，监督检查指派工作人员执行甲方的各项规章制度情况，对违反规章制度或不符合甲方要求的指派工作人员进行处理，及时更换不能胜任的指派工作人员，维护甲方的正常工作秩序。</w:t>
      </w:r>
    </w:p>
    <w:p w14:paraId="459234D1">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2、乙方应向甲方提供指派工作人员有关资料，包括个人信息、健康证、劳动合同、社会保险证明、学历证明等个人资料。</w:t>
      </w:r>
    </w:p>
    <w:p w14:paraId="7BD452F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乙方所指派工作人员的劳动人事关系归属乙方，与甲方无关。乙方应负责为指派工作人员办理劳动用工手续(签订劳动合同)，负责指派工作人员的工资、社会保验、福利待遇、基础上岗培训等人事管理工作，并负责合同服务期内所有劳动、劳务、劳资纠纷和调节管理纠纷以及因其指派工作人员引起的全部纠纷。乙方应对其所指派的工作人员的所有行为及其后果独立承担全部责任，如因其指派的工作人员出现工伤、疾病、意外伤害，或侵犯甲方或其他任何主体的任何权利，或造成指派工作人员自身或任何主体人身或财产损害，或引发任何纠纷或投诉等，均由乙方自行负责及时妥善处理，甲方对此不承担任何责任，如因此给甲方造成损失，乙方应赔偿甲方全部损失。</w:t>
      </w:r>
    </w:p>
    <w:p w14:paraId="16B72FC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4、乙方有义务对所有物品进行妥善使用，服务期间所有家具、设备、公共设备以及建筑内所有附着物品的损坏均由乙方负责，若因未及时修复或更换所产生的一切后果均由乙方负责。</w:t>
      </w:r>
    </w:p>
    <w:p w14:paraId="4B1AD6D1">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、乙方应于合同约定的起始时间提前</w:t>
      </w:r>
      <w:r>
        <w:rPr>
          <w:rFonts w:hint="eastAsia" w:ascii="仿宋" w:hAnsi="仿宋" w:eastAsia="仿宋" w:cs="仿宋"/>
          <w:color w:val="000000"/>
          <w:sz w:val="24"/>
          <w:szCs w:val="24"/>
          <w:u w:val="single"/>
          <w:lang w:eastAsia="zh-CN"/>
        </w:rPr>
        <w:t>　　　</w:t>
      </w:r>
      <w:r>
        <w:rPr>
          <w:rFonts w:hint="eastAsia" w:ascii="仿宋" w:hAnsi="仿宋" w:eastAsia="仿宋" w:cs="仿宋"/>
          <w:color w:val="000000"/>
          <w:sz w:val="24"/>
          <w:szCs w:val="24"/>
        </w:rPr>
        <w:t>日进驻服务地点，与上一任服务公司做好交接配合，尽快熟悉相关工作，以合同约定的起始时间提供服务。与之相同，乙方应于合同期满前</w:t>
      </w:r>
      <w:r>
        <w:rPr>
          <w:rFonts w:hint="eastAsia" w:ascii="仿宋" w:hAnsi="仿宋" w:eastAsia="仿宋" w:cs="仿宋"/>
          <w:color w:val="000000"/>
          <w:sz w:val="24"/>
          <w:szCs w:val="24"/>
          <w:u w:val="single"/>
          <w:lang w:eastAsia="zh-CN"/>
        </w:rPr>
        <w:t>　　　</w:t>
      </w:r>
      <w:r>
        <w:rPr>
          <w:rFonts w:hint="eastAsia" w:ascii="仿宋" w:hAnsi="仿宋" w:eastAsia="仿宋" w:cs="仿宋"/>
          <w:color w:val="000000"/>
          <w:sz w:val="24"/>
          <w:szCs w:val="24"/>
        </w:rPr>
        <w:t>日，与下一任服务公司做好交接配合，友好相处，给下一任服务公司提供熟悉相关工作的条件。</w:t>
      </w:r>
    </w:p>
    <w:p w14:paraId="07906F95">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、未经甲方书面同意，乙方不得转包、分包本合同项目，不得将本合同约定的服务内容部分或全部转给第三方，否则甲方有权解除合同，并有权要求乙方支付本合同总价10%“即为人民币大写：</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，小写：</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的违约金，并赔偿由此给甲方造成的全部直接和间接经济损失。</w:t>
      </w:r>
    </w:p>
    <w:p w14:paraId="321A328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、本合同终止时，乙方应于本合同终止之日起3日内向甲方移交所有家具、设备、公共设备及建筑物内所有附着物品，如有损坏，乙方应予以赔偿。</w:t>
      </w:r>
    </w:p>
    <w:p w14:paraId="3BA60C84">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、乙方应严格按照本合同以及</w:t>
      </w:r>
      <w:r>
        <w:rPr>
          <w:rFonts w:hint="eastAsia" w:ascii="仿宋" w:hAnsi="仿宋" w:eastAsia="仿宋" w:cs="仿宋"/>
          <w:color w:val="000000"/>
          <w:sz w:val="24"/>
          <w:szCs w:val="24"/>
          <w:lang w:val="en-US" w:eastAsia="zh-CN"/>
        </w:rPr>
        <w:t>竞争性磋商文件</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磋商响应</w:t>
      </w:r>
      <w:r>
        <w:rPr>
          <w:rFonts w:hint="eastAsia" w:ascii="仿宋" w:hAnsi="仿宋" w:eastAsia="仿宋" w:cs="仿宋"/>
          <w:color w:val="000000"/>
          <w:sz w:val="24"/>
          <w:szCs w:val="24"/>
        </w:rPr>
        <w:t>文件的约定履行合同义务，并保证服务质量和服务的及时性。</w:t>
      </w:r>
    </w:p>
    <w:p w14:paraId="1077B56C">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乙方应充分考虑到合同履行期间可能带来的人身伤害，应做好相应的保护措施以及购买相应的商业保险等，在项目实施过程中发生的任何事故所导致的责任（包括但不限于：民事责任、刑事责任、行政责任）全部由乙方负责，与甲方无关。</w:t>
      </w:r>
    </w:p>
    <w:p w14:paraId="3F0987B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六、质量要求、技术标准</w:t>
      </w:r>
    </w:p>
    <w:p w14:paraId="12CAB1E7">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1、质量要求：严格执行国家及行业标准规范。</w:t>
      </w:r>
    </w:p>
    <w:p w14:paraId="47B2B51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七、服务要求</w:t>
      </w:r>
    </w:p>
    <w:p w14:paraId="1C219F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1、服务要求：根据甲方要求。</w:t>
      </w:r>
    </w:p>
    <w:p w14:paraId="2A3A38FB">
      <w:pPr>
        <w:spacing w:line="360" w:lineRule="auto"/>
        <w:ind w:left="-8"/>
        <w:rPr>
          <w:rFonts w:hint="eastAsia" w:ascii="仿宋_GB2312" w:hAnsi="仿宋_GB2312" w:eastAsia="仿宋_GB2312" w:cs="仿宋_GB2312"/>
          <w:b/>
          <w:bCs/>
          <w:sz w:val="24"/>
        </w:rPr>
      </w:pPr>
      <w:r>
        <w:rPr>
          <w:rFonts w:hint="eastAsia" w:ascii="仿宋_GB2312" w:hAnsi="仿宋_GB2312" w:eastAsia="仿宋_GB2312" w:cs="仿宋_GB2312"/>
          <w:b/>
          <w:bCs/>
          <w:sz w:val="24"/>
        </w:rPr>
        <w:t>八、服务地点</w:t>
      </w:r>
    </w:p>
    <w:p w14:paraId="088A9C04">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rPr>
        <w:t>1、甲方指定地点。</w:t>
      </w:r>
    </w:p>
    <w:p w14:paraId="4F22D1E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九、项目验收</w:t>
      </w:r>
    </w:p>
    <w:p w14:paraId="4D8AEE3C">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1、经甲方考评，考评合格后结算合同价款</w:t>
      </w:r>
      <w:r>
        <w:rPr>
          <w:rFonts w:hint="eastAsia" w:ascii="仿宋_GB2312" w:hAnsi="仿宋_GB2312" w:eastAsia="仿宋_GB2312" w:cs="仿宋_GB2312"/>
          <w:sz w:val="24"/>
        </w:rPr>
        <w:t>。</w:t>
      </w:r>
    </w:p>
    <w:p w14:paraId="7FDE5BA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十、保密条款</w:t>
      </w:r>
    </w:p>
    <w:p w14:paraId="2DF7BA35">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双方承诺，除非法律另有规定或双方一致同意，任何一方不得将本协议的内容向第三方透露，否则，应向对方承担相应的违约责任。</w:t>
      </w:r>
    </w:p>
    <w:p w14:paraId="31ABA1E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61B38692">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中，保密资料是指任何一方所有的与披露方现有的潜在的业务、运营或财务状况直接或间接有关的书面、演示、电子、或其他形式的资料，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7ED069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十一、违约责任</w:t>
      </w:r>
    </w:p>
    <w:p w14:paraId="52C74CE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0293D64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2、乙方应按照合同规定的期限完成系统建设，每延迟一天应承担当期应付款2‰的违约金，违约金累计不超过当期应付款10%。若违约金累计已达上限，乙方仍未履行，甲方有权解除合同。</w:t>
      </w:r>
    </w:p>
    <w:p w14:paraId="2B308D35">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3</w:t>
      </w:r>
      <w:r>
        <w:rPr>
          <w:rFonts w:hint="eastAsia" w:ascii="仿宋_GB2312" w:hAnsi="仿宋_GB2312" w:eastAsia="仿宋_GB2312" w:cs="仿宋_GB2312"/>
          <w:sz w:val="24"/>
        </w:rPr>
        <w:t xml:space="preserve">、甲、乙双方中任何一方违反本合同第十条保密条款的，应当向相对方支付合同总价款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w:t>
      </w:r>
    </w:p>
    <w:p w14:paraId="2F6670C0">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u w:val="single"/>
        </w:rPr>
        <w:t>责</w:t>
      </w:r>
      <w:r>
        <w:rPr>
          <w:rFonts w:hint="eastAsia" w:ascii="仿宋_GB2312" w:hAnsi="仿宋_GB2312" w:eastAsia="仿宋_GB2312" w:cs="仿宋_GB2312"/>
          <w:sz w:val="24"/>
        </w:rPr>
        <w:t xml:space="preserve">任，乙方还应向甲方承担合同总价款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的违约金，违约金不足以弥补给甲方造成的损失的，乙方还应当承担补足责任。</w:t>
      </w:r>
    </w:p>
    <w:p w14:paraId="535363F6">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5、合同成立后，在任何一方无实质违约的情况下，未经相对方书面允许，任何一方不得单方撤销、中止、终止履行合同。</w:t>
      </w:r>
    </w:p>
    <w:p w14:paraId="375FD7A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十二、争议解决</w:t>
      </w:r>
    </w:p>
    <w:p w14:paraId="3080253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rPr>
        <w:t>均有权向甲方所在地人民法院提起诉讼。</w:t>
      </w:r>
    </w:p>
    <w:p w14:paraId="4BAB34CE">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十三、协议期限</w:t>
      </w:r>
    </w:p>
    <w:p w14:paraId="5CFFC8B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本协议从双方法定代表人或授权代表签字、盖章之日起生效。</w:t>
      </w:r>
    </w:p>
    <w:p w14:paraId="7DD3606E">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十四、不可抗力</w:t>
      </w:r>
    </w:p>
    <w:p w14:paraId="0EFB8EE6">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548BC4C2">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316DCB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3、如不可抗力时间延续90天以上的，各方通过协商达成在合理的时间内继续履行合同，或部分履行合同，或终止合同的履行。</w:t>
      </w:r>
    </w:p>
    <w:p w14:paraId="05E6B3F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4、一方迟延履行后发生不可抗力的，不能免除责任。</w:t>
      </w:r>
    </w:p>
    <w:p w14:paraId="2293D45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十五、通知和合同修改</w:t>
      </w:r>
    </w:p>
    <w:p w14:paraId="26F64D8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本合同一方给另一方的通知，都应以书面的形式（信函、传真）发送至对方，对本合同条款进行任何改动，均须由甲乙双方签署书面合同修改或经济签证，方为有效。</w:t>
      </w:r>
    </w:p>
    <w:p w14:paraId="334E0BD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十六、其他规定</w:t>
      </w:r>
    </w:p>
    <w:p w14:paraId="30E1395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6DF0748C">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w:t>
      </w:r>
      <w:r>
        <w:rPr>
          <w:rFonts w:hint="eastAsia" w:ascii="仿宋_GB2312" w:hAnsi="仿宋_GB2312" w:eastAsia="仿宋_GB2312" w:cs="仿宋_GB2312"/>
          <w:kern w:val="28"/>
          <w:sz w:val="24"/>
          <w:lang w:val="en-US" w:eastAsia="zh-CN"/>
        </w:rPr>
        <w:t>一式</w:t>
      </w:r>
      <w:r>
        <w:rPr>
          <w:rFonts w:hint="eastAsia" w:ascii="仿宋_GB2312" w:hAnsi="仿宋_GB2312" w:eastAsia="仿宋_GB2312" w:cs="仿宋_GB2312"/>
          <w:kern w:val="28"/>
          <w:sz w:val="24"/>
          <w:u w:val="single"/>
          <w:lang w:val="en-US" w:eastAsia="zh-CN"/>
        </w:rPr>
        <w:t xml:space="preserve">     </w:t>
      </w:r>
      <w:r>
        <w:rPr>
          <w:rFonts w:hint="eastAsia" w:ascii="仿宋_GB2312" w:hAnsi="仿宋_GB2312" w:eastAsia="仿宋_GB2312" w:cs="仿宋_GB2312"/>
          <w:kern w:val="28"/>
          <w:sz w:val="24"/>
        </w:rPr>
        <w:t>份，具有同等效力。自双方授权代表签字、盖章之日起生效。</w:t>
      </w:r>
    </w:p>
    <w:p w14:paraId="2778379E">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本合同的订立、履行、变更、终止、解释等均适用中华人民共和国法律。</w:t>
      </w:r>
    </w:p>
    <w:p w14:paraId="417115C5">
      <w:pPr>
        <w:shd w:val="clear" w:color="auto" w:fill="FFFFFF"/>
        <w:snapToGrid w:val="0"/>
        <w:spacing w:line="360" w:lineRule="auto"/>
        <w:ind w:firstLine="480" w:firstLineChars="200"/>
        <w:rPr>
          <w:rFonts w:hint="eastAsia" w:ascii="仿宋" w:hAnsi="仿宋" w:eastAsia="仿宋" w:cs="仿宋"/>
          <w:color w:val="auto"/>
          <w:spacing w:val="0"/>
          <w:sz w:val="24"/>
          <w:szCs w:val="24"/>
          <w:highlight w:val="none"/>
        </w:rPr>
      </w:pPr>
      <w:r>
        <w:rPr>
          <w:rFonts w:hint="eastAsia" w:ascii="仿宋_GB2312" w:hAnsi="仿宋_GB2312" w:eastAsia="仿宋_GB2312" w:cs="仿宋_GB2312"/>
          <w:kern w:val="28"/>
          <w:sz w:val="24"/>
        </w:rPr>
        <w:t>本合同未尽事宜由双方共同协商，另行订立补充协议，补充协议与本协议具有同样的法律效力。如果本合同之附件与本合同规定不符, 以本合同规定为准。</w:t>
      </w:r>
      <w:r>
        <w:rPr>
          <w:rFonts w:hint="eastAsia" w:ascii="仿宋" w:hAnsi="仿宋" w:eastAsia="仿宋" w:cs="仿宋"/>
          <w:b/>
          <w:color w:val="auto"/>
          <w:spacing w:val="0"/>
          <w:sz w:val="24"/>
          <w:szCs w:val="24"/>
          <w:highlight w:val="none"/>
        </w:rPr>
        <w:br w:type="page"/>
      </w:r>
      <w:r>
        <w:rPr>
          <w:rFonts w:hint="eastAsia" w:ascii="仿宋" w:hAnsi="仿宋" w:eastAsia="仿宋" w:cs="仿宋"/>
          <w:b/>
          <w:color w:val="auto"/>
          <w:spacing w:val="0"/>
          <w:sz w:val="24"/>
          <w:szCs w:val="24"/>
          <w:highlight w:val="none"/>
        </w:rPr>
        <w:t>（以下无正文）</w:t>
      </w:r>
    </w:p>
    <w:p w14:paraId="0ADDF0DB">
      <w:pPr>
        <w:tabs>
          <w:tab w:val="left" w:pos="2100"/>
          <w:tab w:val="left" w:pos="4200"/>
        </w:tabs>
        <w:spacing w:line="480" w:lineRule="auto"/>
        <w:ind w:left="-99" w:leftChars="-135" w:right="-578" w:rightChars="-241" w:hanging="225" w:hangingChars="94"/>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p>
    <w:p w14:paraId="72A44ED9">
      <w:pPr>
        <w:tabs>
          <w:tab w:val="left" w:pos="2100"/>
          <w:tab w:val="left" w:pos="4200"/>
        </w:tabs>
        <w:spacing w:line="480" w:lineRule="auto"/>
        <w:ind w:left="-84" w:leftChars="-35" w:right="-578" w:rightChars="-241" w:firstLine="803" w:firstLineChars="402"/>
        <w:rPr>
          <w:rFonts w:hint="eastAsia" w:ascii="仿宋" w:hAnsi="仿宋" w:eastAsia="仿宋" w:cs="仿宋"/>
          <w:color w:val="auto"/>
          <w:sz w:val="24"/>
          <w:szCs w:val="24"/>
          <w:highlight w:val="none"/>
        </w:rPr>
      </w:pPr>
      <w:r>
        <w:rPr>
          <w:rFonts w:hint="eastAsia" w:ascii="仿宋" w:hAnsi="仿宋" w:eastAsia="仿宋" w:cs="仿宋"/>
          <w:color w:val="auto"/>
          <w:spacing w:val="-20"/>
          <w:sz w:val="24"/>
          <w:szCs w:val="24"/>
          <w:highlight w:val="none"/>
        </w:rPr>
        <w:t xml:space="preserve">   </w:t>
      </w:r>
      <w:r>
        <w:rPr>
          <w:rFonts w:hint="eastAsia" w:ascii="仿宋" w:hAnsi="仿宋" w:eastAsia="仿宋" w:cs="仿宋"/>
          <w:color w:val="auto"/>
          <w:sz w:val="24"/>
          <w:szCs w:val="24"/>
          <w:highlight w:val="none"/>
        </w:rPr>
        <w:t xml:space="preserve"> </w:t>
      </w:r>
    </w:p>
    <w:p w14:paraId="61A31CCC">
      <w:pPr>
        <w:tabs>
          <w:tab w:val="left" w:pos="2100"/>
          <w:tab w:val="left" w:pos="4200"/>
        </w:tabs>
        <w:spacing w:line="480" w:lineRule="auto"/>
        <w:ind w:left="5040" w:right="-578" w:rightChars="-241" w:hanging="4320" w:hanging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（盖章）                        （盖章）</w:t>
      </w:r>
    </w:p>
    <w:p w14:paraId="183F5F74">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法定代表人或委托代理人：</w:t>
      </w:r>
    </w:p>
    <w:p w14:paraId="36016701">
      <w:pPr>
        <w:tabs>
          <w:tab w:val="left" w:pos="2100"/>
          <w:tab w:val="left" w:pos="4200"/>
        </w:tabs>
        <w:spacing w:line="480" w:lineRule="auto"/>
        <w:ind w:left="-103" w:leftChars="-171" w:right="-578" w:rightChars="-241" w:hanging="307" w:hanging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（签字或盖章）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（签字或盖章）                      </w:t>
      </w:r>
    </w:p>
    <w:p w14:paraId="06465078">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1A67DCF9">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邮政编码：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邮政编码：</w:t>
      </w:r>
    </w:p>
    <w:p w14:paraId="539CFF4F">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电    话： </w:t>
      </w:r>
    </w:p>
    <w:p w14:paraId="5E4B6972">
      <w:pPr>
        <w:tabs>
          <w:tab w:val="left" w:pos="2100"/>
          <w:tab w:val="left" w:pos="4200"/>
        </w:tabs>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传    真： </w:t>
      </w:r>
    </w:p>
    <w:p w14:paraId="69FA7101">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开户开户银行：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开户单位：</w:t>
      </w:r>
      <w:r>
        <w:rPr>
          <w:rFonts w:hint="eastAsia" w:ascii="仿宋" w:hAnsi="仿宋" w:eastAsia="仿宋" w:cs="仿宋"/>
          <w:color w:val="auto"/>
          <w:spacing w:val="-20"/>
          <w:sz w:val="24"/>
          <w:szCs w:val="24"/>
          <w:highlight w:val="none"/>
        </w:rPr>
        <w:t xml:space="preserve"> </w:t>
      </w:r>
    </w:p>
    <w:p w14:paraId="2AFCC4E2">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银行银行帐号：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银行帐号：</w:t>
      </w:r>
    </w:p>
    <w:p w14:paraId="747669C6">
      <w:pPr>
        <w:tabs>
          <w:tab w:val="left" w:pos="2100"/>
          <w:tab w:val="left" w:pos="4200"/>
        </w:tabs>
        <w:spacing w:line="480" w:lineRule="auto"/>
        <w:ind w:right="-578" w:rightChars="-24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签约地点：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签约地点：</w:t>
      </w:r>
    </w:p>
    <w:p w14:paraId="7251AA34">
      <w:pPr>
        <w:tabs>
          <w:tab w:val="left" w:pos="2100"/>
          <w:tab w:val="left" w:pos="4200"/>
        </w:tabs>
        <w:spacing w:line="480" w:lineRule="auto"/>
        <w:ind w:right="-578" w:rightChars="-241"/>
        <w:rPr>
          <w:rFonts w:hint="default"/>
          <w:lang w:val="en-US" w:eastAsia="zh-CN"/>
        </w:rPr>
        <w:sectPr>
          <w:pgSz w:w="11906" w:h="16838"/>
          <w:pgMar w:top="1417" w:right="1417" w:bottom="1417" w:left="1417" w:header="850" w:footer="850" w:gutter="0"/>
          <w:pgNumType w:fmt="decimal"/>
          <w:cols w:space="720" w:num="1"/>
          <w:rtlGutter w:val="0"/>
          <w:docGrid w:type="lines" w:linePitch="312" w:charSpace="0"/>
        </w:sectPr>
      </w:pPr>
      <w:r>
        <w:rPr>
          <w:rFonts w:hint="eastAsia" w:ascii="仿宋" w:hAnsi="仿宋" w:eastAsia="仿宋" w:cs="仿宋"/>
          <w:color w:val="auto"/>
          <w:sz w:val="24"/>
          <w:szCs w:val="24"/>
          <w:highlight w:val="none"/>
        </w:rPr>
        <w:t>签约时间：</w:t>
      </w:r>
      <w:r>
        <w:rPr>
          <w:rFonts w:hint="eastAsia" w:ascii="仿宋" w:hAnsi="仿宋" w:eastAsia="仿宋" w:cs="仿宋"/>
          <w:color w:val="auto"/>
          <w:sz w:val="24"/>
          <w:szCs w:val="24"/>
          <w:highlight w:val="none"/>
          <w:lang w:val="en-US" w:eastAsia="zh-CN"/>
        </w:rPr>
        <w:t>2025年</w:t>
      </w:r>
      <w:r>
        <w:rPr>
          <w:rFonts w:hint="eastAsia" w:ascii="仿宋" w:hAnsi="仿宋" w:eastAsia="仿宋" w:cs="仿宋"/>
          <w:color w:val="auto"/>
          <w:sz w:val="24"/>
          <w:szCs w:val="24"/>
          <w:highlight w:val="none"/>
        </w:rPr>
        <w:t xml:space="preserve">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签约时间：</w:t>
      </w:r>
      <w:r>
        <w:rPr>
          <w:rFonts w:hint="eastAsia" w:ascii="仿宋" w:hAnsi="仿宋" w:eastAsia="仿宋" w:cs="仿宋"/>
          <w:color w:val="auto"/>
          <w:sz w:val="24"/>
          <w:szCs w:val="24"/>
          <w:highlight w:val="none"/>
          <w:lang w:val="en-US" w:eastAsia="zh-CN"/>
        </w:rPr>
        <w:t>2025年</w:t>
      </w:r>
      <w:r>
        <w:rPr>
          <w:rFonts w:hint="eastAsia" w:ascii="仿宋" w:hAnsi="仿宋" w:eastAsia="仿宋" w:cs="仿宋"/>
          <w:color w:val="auto"/>
          <w:sz w:val="24"/>
          <w:szCs w:val="24"/>
          <w:highlight w:val="none"/>
        </w:rPr>
        <w:t xml:space="preserve">  月  </w:t>
      </w:r>
    </w:p>
    <w:p w14:paraId="0D1AED43">
      <w:pPr>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62E9">
    <w:pPr>
      <w:pStyle w:val="7"/>
      <w:jc w:val="center"/>
      <w:rPr>
        <w:rFonts w:ascii="楷体" w:hAnsi="楷体" w:eastAsia="楷体" w:cs="楷体"/>
      </w:rPr>
    </w:pPr>
    <w:r>
      <w:rPr>
        <w:rFonts w:hint="eastAsia" w:ascii="楷体" w:hAnsi="楷体" w:eastAsia="楷体" w:cs="楷体"/>
        <w:lang w:val="zh-CN"/>
      </w:rPr>
      <w:t xml:space="preserve"> 第</w:t>
    </w:r>
    <w:r>
      <w:rPr>
        <w:rFonts w:hint="eastAsia" w:ascii="楷体" w:hAnsi="楷体" w:eastAsia="楷体" w:cs="楷体"/>
      </w:rPr>
      <w:t xml:space="preserve"> </w:t>
    </w:r>
    <w:r>
      <w:rPr>
        <w:rFonts w:hint="eastAsia" w:ascii="楷体" w:hAnsi="楷体" w:eastAsia="楷体" w:cs="楷体"/>
      </w:rPr>
      <w:fldChar w:fldCharType="begin"/>
    </w:r>
    <w:r>
      <w:rPr>
        <w:rFonts w:hint="eastAsia" w:ascii="楷体" w:hAnsi="楷体" w:eastAsia="楷体" w:cs="楷体"/>
      </w:rPr>
      <w:instrText xml:space="preserve">PAGE</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r>
      <w:rPr>
        <w:rFonts w:hint="eastAsia" w:ascii="楷体" w:hAnsi="楷体" w:eastAsia="楷体" w:cs="楷体"/>
        <w:lang w:val="zh-CN"/>
      </w:rPr>
      <w:t xml:space="preserve"> /共 </w:t>
    </w:r>
    <w:r>
      <w:rPr>
        <w:rFonts w:hint="eastAsia" w:ascii="楷体" w:hAnsi="楷体" w:eastAsia="楷体" w:cs="楷体"/>
      </w:rPr>
      <w:fldChar w:fldCharType="begin"/>
    </w:r>
    <w:r>
      <w:rPr>
        <w:rFonts w:hint="eastAsia" w:ascii="楷体" w:hAnsi="楷体" w:eastAsia="楷体" w:cs="楷体"/>
      </w:rPr>
      <w:instrText xml:space="preserve">NUMPAGES</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p>
  <w:p w14:paraId="1CA9CB6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TJmOGM1M2I4NTVmMjUxOGM3Y2RjYzg5MjA1OTMifQ=="/>
  </w:docVars>
  <w:rsids>
    <w:rsidRoot w:val="4C033120"/>
    <w:rsid w:val="026A6B75"/>
    <w:rsid w:val="074D3623"/>
    <w:rsid w:val="07D16002"/>
    <w:rsid w:val="174340FA"/>
    <w:rsid w:val="244871F4"/>
    <w:rsid w:val="295C7E83"/>
    <w:rsid w:val="29BE53BA"/>
    <w:rsid w:val="30323E5A"/>
    <w:rsid w:val="3319465F"/>
    <w:rsid w:val="3505777B"/>
    <w:rsid w:val="36413D02"/>
    <w:rsid w:val="4C033120"/>
    <w:rsid w:val="4CAE1A3B"/>
    <w:rsid w:val="4D6414A3"/>
    <w:rsid w:val="4E59455E"/>
    <w:rsid w:val="4F7E3BF3"/>
    <w:rsid w:val="518947D4"/>
    <w:rsid w:val="585554E0"/>
    <w:rsid w:val="5FCF2E39"/>
    <w:rsid w:val="6274008C"/>
    <w:rsid w:val="6BBD0DC9"/>
    <w:rsid w:val="6D803119"/>
    <w:rsid w:val="72D7068F"/>
    <w:rsid w:val="73AA39C8"/>
    <w:rsid w:val="753F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next w:val="8"/>
    <w:qFormat/>
    <w:uiPriority w:val="99"/>
    <w:pPr>
      <w:tabs>
        <w:tab w:val="center" w:pos="4153"/>
        <w:tab w:val="right" w:pos="8306"/>
      </w:tabs>
      <w:snapToGrid w:val="0"/>
      <w:jc w:val="left"/>
    </w:pPr>
    <w:rPr>
      <w:sz w:val="18"/>
      <w:szCs w:val="18"/>
    </w:rPr>
  </w:style>
  <w:style w:type="paragraph" w:customStyle="1" w:styleId="8">
    <w:name w:val="明显引用1"/>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9">
    <w:name w:val="Body Text First Indent"/>
    <w:basedOn w:val="2"/>
    <w:next w:val="10"/>
    <w:qFormat/>
    <w:uiPriority w:val="99"/>
    <w:pPr>
      <w:ind w:firstLine="420" w:firstLineChars="100"/>
    </w:pPr>
    <w:rPr>
      <w:rFonts w:ascii="宋体"/>
    </w:rPr>
  </w:style>
  <w:style w:type="paragraph" w:styleId="10">
    <w:name w:val="Body Text First Indent 2"/>
    <w:basedOn w:val="6"/>
    <w:next w:val="2"/>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styleId="13">
    <w:name w:val="page number"/>
    <w:basedOn w:val="12"/>
    <w:qFormat/>
    <w:uiPriority w:val="0"/>
  </w:style>
  <w:style w:type="paragraph" w:customStyle="1" w:styleId="14">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6273</Words>
  <Characters>6303</Characters>
  <Lines>0</Lines>
  <Paragraphs>0</Paragraphs>
  <TotalTime>0</TotalTime>
  <ScaleCrop>false</ScaleCrop>
  <LinksUpToDate>false</LinksUpToDate>
  <CharactersWithSpaces>7551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doit</dc:creator>
  <cp:lastModifiedBy>QQQQ</cp:lastModifiedBy>
  <dcterms:modified xsi:type="dcterms:W3CDTF">2025-07-31T10:17:16Z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1DFC7318E422495692C075595BEE7D35_13</vt:lpwstr>
  </property>
  <property fmtid="{D5CDD505-2E9C-101B-9397-08002B2CF9AE}" pid="4" name="KSOTemplateDocerSaveRecord">
    <vt:lpwstr>eyJoZGlkIjoiNmZlMDQwN2NiMDE0ZGM3OGQyMjI2MGI5NGMzYzk3YjEiLCJ1c2VySWQiOiIzODkzMjE1NzcifQ==</vt:lpwstr>
  </property>
</Properties>
</file>