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21C2E">
      <w:pPr>
        <w:pStyle w:val="3"/>
        <w:shd w:val="clear"/>
        <w:adjustRightInd w:val="0"/>
        <w:spacing w:line="360" w:lineRule="auto"/>
        <w:jc w:val="center"/>
        <w:textAlignment w:val="baseline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分项</w:t>
      </w:r>
      <w:r>
        <w:rPr>
          <w:rFonts w:hint="eastAsia" w:ascii="仿宋" w:hAnsi="仿宋" w:eastAsia="仿宋" w:cs="仿宋"/>
          <w:color w:val="auto"/>
          <w:highlight w:val="none"/>
        </w:rPr>
        <w:t>报价表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或报价说明</w:t>
      </w:r>
    </w:p>
    <w:tbl>
      <w:tblPr>
        <w:tblStyle w:val="5"/>
        <w:tblW w:w="9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7357"/>
      </w:tblGrid>
      <w:tr w14:paraId="78396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  <w:jc w:val="center"/>
        </w:trPr>
        <w:tc>
          <w:tcPr>
            <w:tcW w:w="1933" w:type="dxa"/>
            <w:noWrap w:val="0"/>
            <w:vAlign w:val="center"/>
          </w:tcPr>
          <w:p w14:paraId="3B6B234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 w:bidi="ar-SA"/>
              </w:rPr>
              <w:t>磋商总报价（元）</w:t>
            </w:r>
          </w:p>
        </w:tc>
        <w:tc>
          <w:tcPr>
            <w:tcW w:w="7357" w:type="dxa"/>
            <w:noWrap w:val="0"/>
            <w:vAlign w:val="center"/>
          </w:tcPr>
          <w:p w14:paraId="2E4E4D51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u w:val="none"/>
                <w:lang w:val="en-US" w:eastAsia="zh-CN"/>
              </w:rPr>
              <w:t>人民币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u w:val="none"/>
                <w:lang w:val="en-US" w:eastAsia="zh-CN"/>
              </w:rPr>
              <w:t xml:space="preserve">元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 xml:space="preserve">  </w:t>
            </w:r>
          </w:p>
          <w:p w14:paraId="39C1F5A0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  <w:p w14:paraId="71BF3288">
            <w:pPr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小写：¥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  <w:tr w14:paraId="32524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  <w:jc w:val="center"/>
        </w:trPr>
        <w:tc>
          <w:tcPr>
            <w:tcW w:w="1933" w:type="dxa"/>
            <w:noWrap w:val="0"/>
            <w:vAlign w:val="center"/>
          </w:tcPr>
          <w:p w14:paraId="7A6AF8B2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磋商综合单价</w:t>
            </w:r>
          </w:p>
          <w:p w14:paraId="0732B8B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报价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7357" w:type="dxa"/>
            <w:noWrap w:val="0"/>
            <w:vAlign w:val="center"/>
          </w:tcPr>
          <w:p w14:paraId="35271739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u w:val="none"/>
                <w:lang w:val="en-US" w:eastAsia="zh-CN"/>
              </w:rPr>
              <w:t>每平方米每月人民币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u w:val="none"/>
                <w:lang w:val="en-US" w:eastAsia="zh-CN"/>
              </w:rPr>
              <w:t xml:space="preserve">元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 xml:space="preserve">  </w:t>
            </w:r>
          </w:p>
          <w:p w14:paraId="325CCDDC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  <w:p w14:paraId="3B7EDED3">
            <w:pPr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小写：¥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u w:val="single"/>
                <w:lang w:val="en-US" w:eastAsia="zh-CN"/>
              </w:rPr>
              <w:t xml:space="preserve">                    （元/ m².月）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 xml:space="preserve">  </w:t>
            </w:r>
          </w:p>
        </w:tc>
      </w:tr>
    </w:tbl>
    <w:p w14:paraId="3C80FFD9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2F02C097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注：</w:t>
      </w:r>
    </w:p>
    <w:p w14:paraId="6600D5E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_GB2312" w:hAnsi="宋体" w:eastAsia="仿宋_GB2312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_GB2312" w:hAnsi="宋体" w:eastAsia="仿宋_GB2312" w:cs="Times New Roman"/>
          <w:color w:val="auto"/>
          <w:sz w:val="24"/>
          <w:szCs w:val="24"/>
          <w:highlight w:val="none"/>
        </w:rPr>
        <w:t>以上报价包含各项所需全过程的一切费用</w:t>
      </w:r>
      <w:r>
        <w:rPr>
          <w:rFonts w:hint="eastAsia" w:ascii="仿宋_GB2312" w:hAnsi="宋体" w:eastAsia="仿宋_GB2312" w:cs="Times New Roman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_GB2312" w:hAnsi="宋体" w:eastAsia="仿宋_GB2312" w:cs="Times New Roman"/>
          <w:color w:val="auto"/>
          <w:sz w:val="24"/>
          <w:szCs w:val="24"/>
          <w:highlight w:val="none"/>
        </w:rPr>
        <w:t>报价内容以元为单位，保留小数点后（两位）</w:t>
      </w:r>
      <w:r>
        <w:rPr>
          <w:rFonts w:hint="eastAsia" w:ascii="仿宋_GB2312" w:hAnsi="宋体" w:eastAsia="仿宋_GB2312" w:cs="Times New Roman"/>
          <w:color w:val="auto"/>
          <w:sz w:val="24"/>
          <w:szCs w:val="24"/>
          <w:highlight w:val="none"/>
          <w:lang w:val="en-US" w:eastAsia="zh-CN"/>
        </w:rPr>
        <w:t>；</w:t>
      </w:r>
    </w:p>
    <w:p w14:paraId="0CCF981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_GB2312" w:hAnsi="宋体" w:eastAsia="仿宋_GB2312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2、磋商总报价=磋商综合单价报价*建筑面积（3200平方米）*12个月；</w:t>
      </w:r>
    </w:p>
    <w:p w14:paraId="461B0988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_GB2312" w:hAnsi="宋体" w:eastAsia="仿宋_GB2312" w:cs="Times New Roman"/>
          <w:b/>
          <w:bCs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总报价高于竞争性磋商文件公布的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采购总预算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将被视为无效磋商，不再参与后续评审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。</w:t>
      </w:r>
    </w:p>
    <w:p w14:paraId="1DC25398">
      <w:pPr>
        <w:pStyle w:val="2"/>
        <w:rPr>
          <w:rFonts w:hint="default"/>
          <w:lang w:val="en-US" w:eastAsia="zh-CN"/>
        </w:rPr>
      </w:pPr>
    </w:p>
    <w:p w14:paraId="62126CB7">
      <w:pPr>
        <w:shd w:val="clear"/>
        <w:rPr>
          <w:rFonts w:hint="eastAsia" w:ascii="仿宋" w:hAnsi="仿宋" w:cs="仿宋"/>
          <w:color w:val="auto"/>
          <w:highlight w:val="none"/>
        </w:rPr>
      </w:pPr>
      <w:bookmarkStart w:id="0" w:name="_GoBack"/>
      <w:bookmarkEnd w:id="0"/>
    </w:p>
    <w:p w14:paraId="7451C0B8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066CB996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1C29374F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7A578BF9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  <w:highlight w:val="none"/>
        </w:rPr>
        <w:t>供应商：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        （公章） 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</w:t>
      </w:r>
    </w:p>
    <w:p w14:paraId="4C1179F0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</w:rPr>
      </w:pPr>
      <w:r>
        <w:rPr>
          <w:rFonts w:hint="eastAsia" w:ascii="仿宋" w:hAnsi="仿宋" w:cs="仿宋"/>
          <w:b/>
          <w:bCs/>
          <w:color w:val="auto"/>
          <w:highlight w:val="none"/>
        </w:rPr>
        <w:t>法定代表人或被授权</w:t>
      </w: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>人</w:t>
      </w:r>
      <w:r>
        <w:rPr>
          <w:rFonts w:hint="eastAsia" w:ascii="仿宋" w:hAnsi="仿宋" w:cs="仿宋"/>
          <w:b/>
          <w:bCs/>
          <w:color w:val="auto"/>
          <w:highlight w:val="none"/>
        </w:rPr>
        <w:t>（签字或盖章）：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</w:t>
      </w:r>
    </w:p>
    <w:p w14:paraId="39F2C4DA">
      <w:pPr>
        <w:shd w:val="clear"/>
        <w:ind w:firstLine="2650" w:firstLineChars="1100"/>
        <w:rPr>
          <w:rFonts w:hint="eastAsia" w:ascii="仿宋" w:hAnsi="仿宋" w:cs="仿宋"/>
          <w:b/>
          <w:bCs/>
          <w:color w:val="auto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auto"/>
          <w:highlight w:val="none"/>
        </w:rPr>
        <w:t>日期：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                     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</w:t>
      </w:r>
    </w:p>
    <w:p w14:paraId="477A5786">
      <w:pPr>
        <w:shd w:val="clear"/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EC81A0D"/>
    <w:rsid w:val="0D1D75F3"/>
    <w:rsid w:val="0F351C72"/>
    <w:rsid w:val="0FEE694E"/>
    <w:rsid w:val="11F34DC7"/>
    <w:rsid w:val="17F66BD0"/>
    <w:rsid w:val="18393F11"/>
    <w:rsid w:val="189F1804"/>
    <w:rsid w:val="1D450255"/>
    <w:rsid w:val="20C067BC"/>
    <w:rsid w:val="243F14D2"/>
    <w:rsid w:val="31393110"/>
    <w:rsid w:val="36BE1FB3"/>
    <w:rsid w:val="3B4E4F49"/>
    <w:rsid w:val="3D915310"/>
    <w:rsid w:val="3EC84D62"/>
    <w:rsid w:val="42E3660E"/>
    <w:rsid w:val="49AA39E1"/>
    <w:rsid w:val="5BEB3A6B"/>
    <w:rsid w:val="5EC81A0D"/>
    <w:rsid w:val="61EB6480"/>
    <w:rsid w:val="62E04BDD"/>
    <w:rsid w:val="63C11BFC"/>
    <w:rsid w:val="64623D7C"/>
    <w:rsid w:val="6A152CA1"/>
    <w:rsid w:val="6A644372"/>
    <w:rsid w:val="6AB256A5"/>
    <w:rsid w:val="6AD86275"/>
    <w:rsid w:val="6D0C0206"/>
    <w:rsid w:val="6E2C5401"/>
    <w:rsid w:val="6FEF7AF1"/>
    <w:rsid w:val="72930C07"/>
    <w:rsid w:val="732A61AD"/>
    <w:rsid w:val="74404DBF"/>
    <w:rsid w:val="74CC0400"/>
    <w:rsid w:val="775070C7"/>
    <w:rsid w:val="77D71596"/>
    <w:rsid w:val="785E5813"/>
    <w:rsid w:val="7D2F59D0"/>
    <w:rsid w:val="7DFD5779"/>
    <w:rsid w:val="7E154BC6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100</Characters>
  <Lines>0</Lines>
  <Paragraphs>0</Paragraphs>
  <TotalTime>1</TotalTime>
  <ScaleCrop>false</ScaleCrop>
  <LinksUpToDate>false</LinksUpToDate>
  <CharactersWithSpaces>193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2022-12-12T11:13:00Z</dcterms:created>
  <dc:creator>陕西中技招标有限公司</dc:creator>
  <cp:lastModifiedBy>QQQQ</cp:lastModifiedBy>
  <dcterms:modified xsi:type="dcterms:W3CDTF">2025-07-31T09:50:22Z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0019E8B81A7C47E5BA0AAF8F6FD67F71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