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8BEE4">
      <w:pPr>
        <w:pStyle w:val="3"/>
        <w:pageBreakBefore w:val="0"/>
        <w:kinsoku/>
        <w:overflowPunct w:val="0"/>
        <w:topLinePunct w:val="0"/>
        <w:bidi w:val="0"/>
        <w:spacing w:after="0"/>
        <w:jc w:val="center"/>
        <w:rPr>
          <w:rFonts w:hint="eastAsia"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5B2A2F44">
      <w:pPr>
        <w:pageBreakBefore w:val="0"/>
        <w:kinsoku/>
        <w:overflowPunct w:val="0"/>
        <w:topLinePunct w:val="0"/>
        <w:bidi w:val="0"/>
        <w:spacing w:line="360" w:lineRule="auto"/>
        <w:jc w:val="center"/>
        <w:outlineLvl w:val="2"/>
        <w:rPr>
          <w:rFonts w:hint="eastAsia"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一、供应商承诺书</w:t>
      </w:r>
    </w:p>
    <w:p w14:paraId="02EADEDD">
      <w:pPr>
        <w:pageBreakBefore w:val="0"/>
        <w:kinsoku/>
        <w:overflowPunct w:val="0"/>
        <w:topLinePunct w:val="0"/>
        <w:bidi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24D4FA67">
      <w:pPr>
        <w:pageBreakBefore w:val="0"/>
        <w:kinsoku/>
        <w:overflowPunct w:val="0"/>
        <w:topLinePunct w:val="0"/>
        <w:bidi w:val="0"/>
        <w:spacing w:line="360" w:lineRule="auto"/>
        <w:ind w:firstLine="57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3F850865">
      <w:pPr>
        <w:pageBreakBefore w:val="0"/>
        <w:kinsoku/>
        <w:overflowPunct w:val="0"/>
        <w:topLinePunct w:val="0"/>
        <w:bidi w:val="0"/>
        <w:spacing w:line="360" w:lineRule="auto"/>
        <w:ind w:firstLine="57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2CEBCDE3">
      <w:pPr>
        <w:pageBreakBefore w:val="0"/>
        <w:kinsoku/>
        <w:overflowPunct w:val="0"/>
        <w:topLinePunct w:val="0"/>
        <w:bidi w:val="0"/>
        <w:spacing w:line="360" w:lineRule="auto"/>
        <w:ind w:firstLine="57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3A34EA7D">
      <w:pPr>
        <w:pageBreakBefore w:val="0"/>
        <w:kinsoku/>
        <w:overflowPunct w:val="0"/>
        <w:topLinePunct w:val="0"/>
        <w:bidi w:val="0"/>
        <w:spacing w:line="360" w:lineRule="auto"/>
        <w:ind w:firstLine="57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0D62624C">
      <w:pPr>
        <w:pageBreakBefore w:val="0"/>
        <w:tabs>
          <w:tab w:val="left" w:pos="694"/>
        </w:tabs>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403F1F9B">
      <w:pPr>
        <w:pageBreakBefore w:val="0"/>
        <w:kinsoku/>
        <w:overflowPunct w:val="0"/>
        <w:topLinePunct w:val="0"/>
        <w:bidi w:val="0"/>
        <w:spacing w:line="360" w:lineRule="auto"/>
        <w:rPr>
          <w:rFonts w:hint="eastAsia" w:ascii="仿宋" w:hAnsi="仿宋" w:eastAsia="仿宋" w:cs="仿宋"/>
          <w:color w:val="auto"/>
          <w:sz w:val="28"/>
          <w:szCs w:val="28"/>
          <w:highlight w:val="none"/>
          <w:lang w:eastAsia="zh-CN"/>
        </w:rPr>
      </w:pPr>
    </w:p>
    <w:p w14:paraId="250909C2">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34244B1D">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eastAsia="zh-CN"/>
        </w:rPr>
      </w:pPr>
    </w:p>
    <w:p w14:paraId="0D937A37">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01D9AE96">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eastAsia="zh-CN"/>
        </w:rPr>
      </w:pPr>
    </w:p>
    <w:p w14:paraId="4BD9E8A9">
      <w:pPr>
        <w:pageBreakBefore w:val="0"/>
        <w:kinsoku/>
        <w:overflowPunct w:val="0"/>
        <w:topLinePunct w:val="0"/>
        <w:bidi w:val="0"/>
        <w:spacing w:line="360" w:lineRule="auto"/>
        <w:ind w:left="-525" w:leftChars="-250" w:firstLine="280" w:firstLineChars="100"/>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008F759">
      <w:pPr>
        <w:pageBreakBefore w:val="0"/>
        <w:kinsoku/>
        <w:overflowPunct w:val="0"/>
        <w:topLinePunct w:val="0"/>
        <w:bidi w:val="0"/>
        <w:spacing w:line="360" w:lineRule="auto"/>
        <w:jc w:val="center"/>
        <w:rPr>
          <w:rFonts w:hint="eastAsia" w:ascii="仿宋" w:hAnsi="仿宋" w:eastAsia="仿宋" w:cs="仿宋"/>
          <w:b/>
          <w:bCs/>
          <w:color w:val="auto"/>
          <w:sz w:val="44"/>
          <w:szCs w:val="44"/>
          <w:highlight w:val="none"/>
          <w:lang w:eastAsia="zh-CN"/>
        </w:rPr>
      </w:pPr>
    </w:p>
    <w:p w14:paraId="3637C4DC">
      <w:pPr>
        <w:pageBreakBefore w:val="0"/>
        <w:kinsoku/>
        <w:overflowPunct w:val="0"/>
        <w:topLinePunct w:val="0"/>
        <w:bidi w:val="0"/>
        <w:spacing w:line="360" w:lineRule="auto"/>
        <w:rPr>
          <w:rFonts w:hint="eastAsia"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78569FBC">
      <w:pPr>
        <w:pageBreakBefore w:val="0"/>
        <w:kinsoku/>
        <w:overflowPunct w:val="0"/>
        <w:topLinePunct w:val="0"/>
        <w:bidi w:val="0"/>
        <w:spacing w:line="360" w:lineRule="auto"/>
        <w:jc w:val="center"/>
        <w:outlineLvl w:val="2"/>
        <w:rPr>
          <w:rFonts w:hint="eastAsia"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二、政府采购供应商拒绝政府采购领域商业贿赂承诺书</w:t>
      </w:r>
    </w:p>
    <w:p w14:paraId="3469124B">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79750219">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5043E3B0">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616A9E63">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46A66E91">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2A0A51A5">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5EFAE0A1">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71E5BDE6">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728CA7A4">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5C27319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5BF3EE97">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p>
    <w:p w14:paraId="5267DDDD">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4FF36931">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05530EB7">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F1F3F66">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27151DC9">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4B18F950">
      <w:pPr>
        <w:pageBreakBefore w:val="0"/>
        <w:tabs>
          <w:tab w:val="left" w:pos="2394"/>
        </w:tabs>
        <w:kinsoku/>
        <w:overflowPunct w:val="0"/>
        <w:topLinePunct w:val="0"/>
        <w:bidi w:val="0"/>
        <w:spacing w:line="360" w:lineRule="auto"/>
        <w:ind w:firstLine="1120" w:firstLineChars="4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F516A59">
      <w:pPr>
        <w:pStyle w:val="7"/>
        <w:jc w:val="both"/>
        <w:outlineLvl w:val="1"/>
        <w:rPr>
          <w:rFonts w:hint="eastAsia" w:ascii="仿宋" w:hAnsi="仿宋" w:eastAsia="仿宋" w:cs="仿宋"/>
          <w:b/>
          <w:color w:val="auto"/>
          <w:sz w:val="36"/>
        </w:rPr>
        <w:sectPr>
          <w:pgSz w:w="11906" w:h="16838"/>
          <w:pgMar w:top="1134" w:right="1134" w:bottom="1134" w:left="1134" w:header="851" w:footer="992" w:gutter="0"/>
          <w:cols w:space="425" w:num="1"/>
          <w:docGrid w:type="lines" w:linePitch="312" w:charSpace="0"/>
        </w:sectPr>
      </w:pPr>
      <w:bookmarkStart w:id="0" w:name="_GoBack"/>
      <w:bookmarkEnd w:id="0"/>
    </w:p>
    <w:p w14:paraId="41266E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459CF"/>
    <w:rsid w:val="1D145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目录"/>
    <w:basedOn w:val="1"/>
    <w:qFormat/>
    <w:uiPriority w:val="0"/>
    <w:pPr>
      <w:jc w:val="center"/>
    </w:pPr>
    <w:rPr>
      <w:rFonts w:ascii="宋体"/>
      <w:b/>
      <w:sz w:val="36"/>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2025-08-04T06:57:00Z</dcterms:created>
  <dc:creator>七安</dc:creator>
  <cp:lastModifiedBy>七安</cp:lastModifiedBy>
  <dcterms:modified xsi:type="dcterms:W3CDTF">2025-08-04T06:58:04Z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F2E60CC497E649ED91DBDD580159FE5F_11</vt:lpwstr>
  </property>
  <property fmtid="{D5CDD505-2E9C-101B-9397-08002B2CF9AE}" pid="4" name="KSOTemplateDocerSaveRecord">
    <vt:lpwstr>eyJoZGlkIjoiYTNjODljY2I4NDIwMDBiNmUwYjUxZTZlNmE1NzJmOTgiLCJ1c2VySWQiOiI2ODY0MTEyNzMifQ==</vt:lpwstr>
  </property>
</Properties>
</file>