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版本号：HCJT[2025政采]第026号(XDZ2025-223-N-142)20250802001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HCJT[2025政采]第026号(XDZ2025-223-N-142)</w:t>
      </w:r>
      <w:r>
        <w:br/>
      </w:r>
      <w:r>
        <w:br/>
      </w:r>
      <w:r>
        <w:br/>
      </w:r>
    </w:p>
    <w:p>
      <w:pPr>
        <w:pStyle w:val="null3"/>
        <w:jc w:val="center"/>
        <w:outlineLvl w:val="2"/>
      </w:pPr>
      <w:r>
        <w:rPr>
          <w:rFonts w:ascii="仿宋_GB2312" w:hAnsi="仿宋_GB2312" w:cs="仿宋_GB2312" w:eastAsia="仿宋_GB2312"/>
          <w:sz w:val="28"/>
          <w:b/>
        </w:rPr>
        <w:t>西安高新第五小学</w:t>
      </w:r>
    </w:p>
    <w:p>
      <w:pPr>
        <w:pStyle w:val="null3"/>
        <w:jc w:val="center"/>
        <w:outlineLvl w:val="2"/>
      </w:pPr>
      <w:r>
        <w:rPr>
          <w:rFonts w:ascii="仿宋_GB2312" w:hAnsi="仿宋_GB2312" w:cs="仿宋_GB2312" w:eastAsia="仿宋_GB2312"/>
          <w:sz w:val="28"/>
          <w:b/>
        </w:rPr>
        <w:t>陕西华辰景天工程项目管理有限公司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陕西华辰景天工程项目管理有限公司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西安高新第五小学</w:t>
      </w:r>
      <w:r>
        <w:rPr>
          <w:rFonts w:ascii="仿宋_GB2312" w:hAnsi="仿宋_GB2312" w:cs="仿宋_GB2312" w:eastAsia="仿宋_GB2312"/>
        </w:rPr>
        <w:t>委托，拟对</w:t>
      </w:r>
      <w:r>
        <w:rPr>
          <w:rFonts w:ascii="仿宋_GB2312" w:hAnsi="仿宋_GB2312" w:cs="仿宋_GB2312" w:eastAsia="仿宋_GB2312"/>
        </w:rPr>
        <w:t>图书馆家具采购项目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HCJT[2025政采]第026号(XDZ2025-223-N-142)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图书馆家具采购项目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本项目拟采购一批图书馆家具。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采购包1（图书馆家具采购项目）：属于专门面向中小企业采购。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磋商代表身份证明：法定代表人（负责人）参与磋商的，须提供法定代表人（负责人）身份证明；法定代表人（负责人）授权他人参与磋商的，须提供法定代表人（负责人）授权委托书，且委托代理人须提供2025年4月1日至今供应商予以缴纳的任意一个月社保证明材料。磋商文件中凡是需要法定代表人签字、盖章之处，非法人单位的负责人均参照执行。法人的分支机构参与磋商时，除提供《法定代表人（负责人）授权委托书》外，还须同时提供法人给分支机构出具的授权书。</w:t>
      </w:r>
    </w:p>
    <w:p>
      <w:pPr>
        <w:pStyle w:val="null3"/>
      </w:pPr>
      <w:r>
        <w:rPr>
          <w:rFonts w:ascii="仿宋_GB2312" w:hAnsi="仿宋_GB2312" w:cs="仿宋_GB2312" w:eastAsia="仿宋_GB2312"/>
        </w:rPr>
        <w:t>3、拒绝列入失信被执行人名单、重大税收违法案件当事人名单、政府采购严重违法失信行为记录名单的供应商参加本项目的采购活动：拒绝列入失信被执行人名单、重大税收违法案件当事人名单、政府采购严重违法失信行为记录名单的供应商参加本项目的采购活动，以网上开启磋商活动当天的评审现场查询结果为准。</w:t>
      </w:r>
    </w:p>
    <w:p>
      <w:pPr>
        <w:pStyle w:val="null3"/>
      </w:pPr>
      <w:r>
        <w:rPr>
          <w:rFonts w:ascii="仿宋_GB2312" w:hAnsi="仿宋_GB2312" w:cs="仿宋_GB2312" w:eastAsia="仿宋_GB2312"/>
        </w:rPr>
        <w:t>4、本项目不接受联合体磋商：本项目不接受联合体磋商，提供声明。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西安市高新区瞪羚路12号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18829236307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陕西华辰景天工程项目管理有限公司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西安市高新区科技二路67号启迪中心K座2801室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杨晨昱、腾芸鹏、王芳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029-89381506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采购包1：378,123.38元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代理服务费收费标准：1、参照国家计委计价格[2002]1980号及发改办价格[2003]857号通知规定，由成交供应商支付招标代理服务费，招标代理服务费不足5000元，按5000元收取。 2、成交单位在领取成交通知书前，须向采购代理机构支付招标代理服务费。 3、招标代理服务费交纳信息： 银行户名：陕西华辰景天工程项目管理有限公司 纳税人识别号：91610000790776670Y 地址：西安市高新区科技二路67号启迪中心K座2801室 电话：029-88328495 开户银行：浙商银行西安分行营业部 账 号：7910000010120100657419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西安高新第五小学</w:t>
      </w:r>
      <w:r>
        <w:rPr>
          <w:rFonts w:ascii="仿宋_GB2312" w:hAnsi="仿宋_GB2312" w:cs="仿宋_GB2312" w:eastAsia="仿宋_GB2312"/>
        </w:rPr>
        <w:t>和</w:t>
      </w:r>
      <w:r>
        <w:rPr>
          <w:rFonts w:ascii="仿宋_GB2312" w:hAnsi="仿宋_GB2312" w:cs="仿宋_GB2312" w:eastAsia="仿宋_GB2312"/>
        </w:rPr>
        <w:t>陕西华辰景天工程项目管理有限公司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西安高新第五小学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陕西华辰景天工程项目管理有限公司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陕西华辰景天工程项目管理有限公司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联系人：杨晨昱、腾芸鹏、王芳</w:t>
      </w:r>
    </w:p>
    <w:p>
      <w:pPr>
        <w:pStyle w:val="null3"/>
      </w:pPr>
      <w:r>
        <w:rPr>
          <w:rFonts w:ascii="仿宋_GB2312" w:hAnsi="仿宋_GB2312" w:cs="仿宋_GB2312" w:eastAsia="仿宋_GB2312"/>
        </w:rPr>
        <w:t>联系电话：029-89381506</w:t>
      </w:r>
    </w:p>
    <w:p>
      <w:pPr>
        <w:pStyle w:val="null3"/>
      </w:pPr>
      <w:r>
        <w:rPr>
          <w:rFonts w:ascii="仿宋_GB2312" w:hAnsi="仿宋_GB2312" w:cs="仿宋_GB2312" w:eastAsia="仿宋_GB2312"/>
        </w:rPr>
        <w:t>地址：西安市高新区科技二路67号启迪中心K座2801室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拟采购一批图书馆家具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378,123.38</w:t>
      </w:r>
    </w:p>
    <w:p>
      <w:pPr>
        <w:pStyle w:val="null3"/>
      </w:pPr>
      <w:r>
        <w:rPr>
          <w:rFonts w:ascii="仿宋_GB2312" w:hAnsi="仿宋_GB2312" w:cs="仿宋_GB2312" w:eastAsia="仿宋_GB2312"/>
        </w:rPr>
        <w:t>采购包最高限价（元）: 378,123.38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378,123.38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mm）</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材质说明</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通顶书柜【核心产品】</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550*宽1200*高2750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板式结构，桌面基材采用实木多层双贴面板，层板厚度为</w:t>
                  </w:r>
                  <w:r>
                    <w:rPr>
                      <w:rFonts w:ascii="仿宋_GB2312" w:hAnsi="仿宋_GB2312" w:cs="仿宋_GB2312" w:eastAsia="仿宋_GB2312"/>
                      <w:sz w:val="20"/>
                      <w:color w:val="000000"/>
                    </w:rPr>
                    <w:t>18mm，周边用1.2mm厚的PVC封边条.颜色定制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叠层地台架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1200*宽800*厚12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地台阻燃等级：</w:t>
                  </w:r>
                  <w:r>
                    <w:rPr>
                      <w:rFonts w:ascii="仿宋_GB2312" w:hAnsi="仿宋_GB2312" w:cs="仿宋_GB2312" w:eastAsia="仿宋_GB2312"/>
                      <w:sz w:val="20"/>
                      <w:color w:val="000000"/>
                    </w:rPr>
                    <w:t>B1级（B1级：难燃性建筑材料：难燃类材料有较好的阻燃作用。其在空气中遇明火或在高温作用下难起火，不易很快发生蔓延，且当火源移开后燃烧立即停止。）</w:t>
                  </w:r>
                  <w:r>
                    <w:br/>
                  </w:r>
                  <w:r>
                    <w:rPr>
                      <w:rFonts w:ascii="仿宋_GB2312" w:hAnsi="仿宋_GB2312" w:cs="仿宋_GB2312" w:eastAsia="仿宋_GB2312"/>
                      <w:sz w:val="20"/>
                      <w:color w:val="000000"/>
                    </w:rPr>
                    <w:t>产品性能：防水防潮、防火阻燃绿色无甲醛</w:t>
                  </w:r>
                  <w:r>
                    <w:rPr>
                      <w:rFonts w:ascii="仿宋_GB2312" w:hAnsi="仿宋_GB2312" w:cs="仿宋_GB2312" w:eastAsia="仿宋_GB2312"/>
                      <w:sz w:val="20"/>
                      <w:color w:val="000000"/>
                    </w:rPr>
                    <w:t>SPC其更具环保性、阻燃性、功能性、耐磨稳定性、防水抗滑性、防蚁抗菌性、导热保暖性、降噪吸音性，色泽多彩性和脚感舒适性。</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窗台装饰书架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260*宽900*高500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板式结构，桌面基材采用实木多层双贴面板，层板厚度为</w:t>
                  </w:r>
                  <w:r>
                    <w:rPr>
                      <w:rFonts w:ascii="仿宋_GB2312" w:hAnsi="仿宋_GB2312" w:cs="仿宋_GB2312" w:eastAsia="仿宋_GB2312"/>
                      <w:sz w:val="20"/>
                      <w:color w:val="000000"/>
                    </w:rPr>
                    <w:t>18mm，周边用1.2mm厚的PVC封边条.颜色定制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烤漆门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1200*高2100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烤漆门基材为密度板，表面经过八次喷烤进口漆（三底、三面、二光）高温烤制而成一种工艺，即喷漆后经过进烘房加温干燥的油漆处理基材门板。烤漆板的特点是色泽鲜艳易于造型，具有很强的视觉冲击力，非常美观时尚且防水性能极佳，抗污能力强，易清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顶板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1200*宽600*厚50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轻钢顶板（</w:t>
                  </w:r>
                  <w:r>
                    <w:rPr>
                      <w:rFonts w:ascii="仿宋_GB2312" w:hAnsi="仿宋_GB2312" w:cs="仿宋_GB2312" w:eastAsia="仿宋_GB2312"/>
                      <w:sz w:val="20"/>
                      <w:color w:val="000000"/>
                    </w:rPr>
                    <w:t>1.2mm厚）结合木质结构，面层采用（装饰板）叠级造型，表面漆采用无毒无味；最低成膜温度符合国家标准，VOC及其他有害物质可达到JG/T481-2015标准的要求零VOC排放体系标准。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4"/>
                      <w:color w:val="000000"/>
                    </w:rPr>
                    <w:t>半高书柜</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550*宽1200*高1500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板式结构，桌面基材采用实木多层双贴面板，层板厚度为</w:t>
                  </w:r>
                  <w:r>
                    <w:rPr>
                      <w:rFonts w:ascii="仿宋_GB2312" w:hAnsi="仿宋_GB2312" w:cs="仿宋_GB2312" w:eastAsia="仿宋_GB2312"/>
                      <w:sz w:val="20"/>
                      <w:color w:val="000000"/>
                    </w:rPr>
                    <w:t>18mm，周边用1.3mm厚的PVC封边条.颜色定制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所有产品的规格及材质要求均为实质性要求。</w:t>
            </w:r>
            <w:r>
              <w:rPr>
                <w:rFonts w:ascii="仿宋_GB2312" w:hAnsi="仿宋_GB2312" w:cs="仿宋_GB2312" w:eastAsia="仿宋_GB2312"/>
                <w:sz w:val="21"/>
              </w:rPr>
              <w:t>供应商须提供承诺，完成交货时，能提供具有法定资格条件的第三方检测机构出具的“合格”检测报告。</w:t>
            </w:r>
          </w:p>
          <w:p>
            <w:pPr>
              <w:pStyle w:val="null3"/>
              <w:jc w:val="both"/>
            </w:pPr>
            <w:r>
              <w:rPr>
                <w:rFonts w:ascii="仿宋_GB2312" w:hAnsi="仿宋_GB2312" w:cs="仿宋_GB2312" w:eastAsia="仿宋_GB2312"/>
              </w:rPr>
              <w:t>说明：供应商在填写中小企业声明函时，请将上表中采购的产品逐项填写进中小企业声明函“标的名称”中，因填写不完整导致的不利后果，由供应商自行承担。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自合同签订之日起，接到采购人送货通知后35日历天内完成包装、运输、交货及安装调试。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合同签订后，自本项目验收合格后，供应商开具合同总价数的全额发票交至采购人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不少于2年，时间从最终验收合格之日起计算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响应）文件。供应商中标（成交）后，线下提交纸质投标（响应）文件正本壹份、副本贰份、U盘壹份（U盘内储存陕西省政府采购网系统平台上传的最终版pdf文件和可编辑word文件）。纸质文件均须A4纸打印并分别胶装成册。递交地址：西安市高新区科技二路67号启迪中心K座2801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供应商需在项目电子化交易系统中按要求填写《响应函》并提供基本资格条件承诺函，须进行电子签章。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磋商代表身份证明</w:t>
            </w:r>
          </w:p>
        </w:tc>
        <w:tc>
          <w:tcPr>
            <w:tcW w:type="dxa" w:w="3322"/>
          </w:tcPr>
          <w:p>
            <w:pPr>
              <w:pStyle w:val="null3"/>
            </w:pPr>
            <w:r>
              <w:rPr>
                <w:rFonts w:ascii="仿宋_GB2312" w:hAnsi="仿宋_GB2312" w:cs="仿宋_GB2312" w:eastAsia="仿宋_GB2312"/>
              </w:rPr>
              <w:t>法定代表人（负责人）参与磋商的，须提供法定代表人（负责人）身份证明；法定代表人（负责人）授权他人参与磋商的，须提供法定代表人（负责人）授权委托书，且委托代理人须提供2025年4月1日至今供应商予以缴纳的任意一个月社保证明材料。磋商文件中凡是需要法定代表人签字、盖章之处，非法人单位的负责人均参照执行。法人的分支机构参与磋商时，除提供《法定代表人（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拒绝列入失信被执行人名单、重大税收违法案件当事人名单、政府采购严重违法失信行为记录名单的供应商参加本项目的采购活动</w:t>
            </w:r>
          </w:p>
        </w:tc>
        <w:tc>
          <w:tcPr>
            <w:tcW w:type="dxa" w:w="3322"/>
          </w:tcPr>
          <w:p>
            <w:pPr>
              <w:pStyle w:val="null3"/>
            </w:pPr>
            <w:r>
              <w:rPr>
                <w:rFonts w:ascii="仿宋_GB2312" w:hAnsi="仿宋_GB2312" w:cs="仿宋_GB2312" w:eastAsia="仿宋_GB2312"/>
              </w:rPr>
              <w:t>拒绝列入失信被执行人名单、重大税收违法案件当事人名单、政府采购严重违法失信行为记录名单的供应商参加本项目的采购活动，以网上开启磋商活动当天的评审现场查询结果为准。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（1）响应文件封面； （2）响应函； （3）法定代表人（负责人）委托授权书。</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签字、盖章齐全，字迹清晰可辨，编写格式符合磋商文件要求，且无遗漏。</w:t>
            </w:r>
          </w:p>
        </w:tc>
        <w:tc>
          <w:tcPr>
            <w:tcW w:type="dxa" w:w="1661"/>
          </w:tcPr>
          <w:p>
            <w:pPr>
              <w:pStyle w:val="null3"/>
            </w:pPr>
            <w:r>
              <w:rPr>
                <w:rFonts w:ascii="仿宋_GB2312" w:hAnsi="仿宋_GB2312" w:cs="仿宋_GB2312" w:eastAsia="仿宋_GB2312"/>
              </w:rPr>
              <w:t>响应文件封面 分项报价表.docx 供应商应提交的相关资格证明材料.docx 方案说明.docx 中小企业声明函 标的清单 报价表 商务应答表.docx 产品技术参数表.docx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响应文件的语言及计量单位</w:t>
            </w:r>
          </w:p>
        </w:tc>
        <w:tc>
          <w:tcPr>
            <w:tcW w:type="dxa" w:w="3322"/>
          </w:tcPr>
          <w:p>
            <w:pPr>
              <w:pStyle w:val="null3"/>
            </w:pPr>
            <w:r>
              <w:rPr>
                <w:rFonts w:ascii="仿宋_GB2312" w:hAnsi="仿宋_GB2312" w:cs="仿宋_GB2312" w:eastAsia="仿宋_GB2312"/>
              </w:rPr>
              <w:t>均符合磋商文件的要求。</w:t>
            </w:r>
          </w:p>
        </w:tc>
        <w:tc>
          <w:tcPr>
            <w:tcW w:type="dxa" w:w="1661"/>
          </w:tcPr>
          <w:p>
            <w:pPr>
              <w:pStyle w:val="null3"/>
            </w:pPr>
            <w:r>
              <w:rPr>
                <w:rFonts w:ascii="仿宋_GB2312" w:hAnsi="仿宋_GB2312" w:cs="仿宋_GB2312" w:eastAsia="仿宋_GB2312"/>
              </w:rPr>
              <w:t>响应文件封面 分项报价表.docx 供应商应提交的相关资格证明材料.docx 方案说明.docx 中小企业声明函 标的清单 报价表 商务应答表.docx 产品技术参数表.docx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（3）未超出合同包最高限价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满足磋商文件要求的响应有效期。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响应文件内容满足磋商文件实质性要求。</w:t>
            </w:r>
          </w:p>
        </w:tc>
        <w:tc>
          <w:tcPr>
            <w:tcW w:type="dxa" w:w="1661"/>
          </w:tcPr>
          <w:p>
            <w:pPr>
              <w:pStyle w:val="null3"/>
            </w:pPr>
            <w:r>
              <w:rPr>
                <w:rFonts w:ascii="仿宋_GB2312" w:hAnsi="仿宋_GB2312" w:cs="仿宋_GB2312" w:eastAsia="仿宋_GB2312"/>
              </w:rPr>
              <w:t>商务应答表.docx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符合磋商文件主要合同条款的要求。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分项报价表.docx 标的清单 报价表 商务应答表.docx 产品技术参数表.docx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根据本项目特点，详细描述供货方案。内容包括：①供货进度计划及进度保障措施②供货运输方案③安装、调试、除醛及检测方案④项目实施过程的安全、文明保障措施⑤管理制度和协调方案⑥项目验收方案。 二、评审标准 1、完整性：方案须全面，对评审内容中的要求有详细描述及说明； 2、可实施性：切合本项目实际情况，实施步骤清晰、合理； 3、针对性：方案能够紧扣项目实际情况，内容科学合理。 三、赋分标准 ①-⑥项评审内容每符合一个评审标准得1.5分，每一小项满分4.5分，六项满分27分。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生产水平及质量控制措施</w:t>
            </w:r>
          </w:p>
        </w:tc>
        <w:tc>
          <w:tcPr>
            <w:tcW w:type="dxa" w:w="2492"/>
          </w:tcPr>
          <w:p>
            <w:pPr>
              <w:pStyle w:val="null3"/>
            </w:pPr>
            <w:r>
              <w:rPr>
                <w:rFonts w:ascii="仿宋_GB2312" w:hAnsi="仿宋_GB2312" w:cs="仿宋_GB2312" w:eastAsia="仿宋_GB2312"/>
              </w:rPr>
              <w:t>一、评审内容 提供生产水平及质量控制措施：方案内容应包含①产品生产质量控制②生产及检测主要机械设备③产品制造工艺及原材料保障④产品安装工艺质量保证。 二、评审标准 1.完整性：方案须全面，对评审内容中的各项要求有详细描述及说明； 2.可实施性：切合本项目实际情况，实施步骤清晰、合理； 3.针对性：方案能够紧扣项目实际情况，内容科学合理。 三、赋分标准 ①-④项评审内容每符合一个评审标准得1分，每一小项满分3分，四项满分12分。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具有良好的售后服务能力，方案应包含①售后服务人员配备②售后服务响应时限及响应程度③供货不及时、出现残次品等补货换货解决方案④应急预案。 二、评审标准 1.完整性：方案须全面，对评审内容中的各项要求有详细描述及说明； 2.可实施性：切合本项目实际情况，实施步骤清晰、合理； 3.针对性：方案能够紧扣项目实际情况，内容科学合理。 三、赋分标准 ①-④项评审内容每符合一个评审标准得1分，每一小项满分3分，四项满分12分。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用户培训</w:t>
            </w:r>
          </w:p>
        </w:tc>
        <w:tc>
          <w:tcPr>
            <w:tcW w:type="dxa" w:w="2492"/>
          </w:tcPr>
          <w:p>
            <w:pPr>
              <w:pStyle w:val="null3"/>
            </w:pPr>
            <w:r>
              <w:rPr>
                <w:rFonts w:ascii="仿宋_GB2312" w:hAnsi="仿宋_GB2312" w:cs="仿宋_GB2312" w:eastAsia="仿宋_GB2312"/>
              </w:rPr>
              <w:t>提供家具使用过程中的日常保养方案。方案科学合理、针对性强、便于操作，得5分；方案基本合理、比较全面、操作便捷性不强，得3分；方案内容混乱、逻辑性差、套用其他项目方案、缺陷明显，得1分。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质保期在磋商文件要求的基础上延长半年得1分，质保期延长一年得2分。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个类似供货业绩合同（类似指家具类）得3分，最高得12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30， 经初审合格的响应文件，其报价为有效报价，最低报价不是中标的唯一依据。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