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68F5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240" w:lineRule="auto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44"/>
          <w:szCs w:val="44"/>
          <w:lang w:val="zh-CN"/>
        </w:rPr>
        <w:t>条款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44"/>
          <w:szCs w:val="44"/>
          <w:lang w:val="zh-CN"/>
        </w:rPr>
        <w:t>偏离表</w:t>
      </w:r>
    </w:p>
    <w:p w14:paraId="741F26A7">
      <w:pPr>
        <w:pStyle w:val="2"/>
        <w:rPr>
          <w:rFonts w:hint="eastAsia"/>
          <w:lang w:val="zh-CN"/>
        </w:rPr>
      </w:pPr>
    </w:p>
    <w:tbl>
      <w:tblPr>
        <w:tblStyle w:val="4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51"/>
        <w:gridCol w:w="2124"/>
        <w:gridCol w:w="2000"/>
        <w:gridCol w:w="1761"/>
      </w:tblGrid>
      <w:tr w14:paraId="1EA00B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459" w:type="pct"/>
            <w:noWrap w:val="0"/>
            <w:vAlign w:val="center"/>
          </w:tcPr>
          <w:p w14:paraId="4378FDF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086" w:type="pct"/>
            <w:noWrap w:val="0"/>
            <w:vAlign w:val="center"/>
          </w:tcPr>
          <w:p w14:paraId="6A4A964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产品名称</w:t>
            </w:r>
          </w:p>
        </w:tc>
        <w:tc>
          <w:tcPr>
            <w:tcW w:w="1246" w:type="pct"/>
            <w:noWrap w:val="0"/>
            <w:vAlign w:val="center"/>
          </w:tcPr>
          <w:p w14:paraId="2152B24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06B9164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技术要求</w:t>
            </w:r>
          </w:p>
        </w:tc>
        <w:tc>
          <w:tcPr>
            <w:tcW w:w="1173" w:type="pct"/>
            <w:noWrap w:val="0"/>
            <w:vAlign w:val="center"/>
          </w:tcPr>
          <w:p w14:paraId="2AA3A25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响应文件</w:t>
            </w:r>
          </w:p>
          <w:p w14:paraId="40421F9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技术参数响应</w:t>
            </w:r>
          </w:p>
        </w:tc>
        <w:tc>
          <w:tcPr>
            <w:tcW w:w="1033" w:type="pct"/>
            <w:noWrap w:val="0"/>
            <w:vAlign w:val="center"/>
          </w:tcPr>
          <w:p w14:paraId="4B5EA757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6E29491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66B00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9" w:type="pct"/>
            <w:noWrap w:val="0"/>
            <w:vAlign w:val="top"/>
          </w:tcPr>
          <w:p w14:paraId="6F598A9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86" w:type="pct"/>
            <w:noWrap w:val="0"/>
            <w:vAlign w:val="top"/>
          </w:tcPr>
          <w:p w14:paraId="2F19C60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6" w:type="pct"/>
            <w:noWrap w:val="0"/>
            <w:vAlign w:val="top"/>
          </w:tcPr>
          <w:p w14:paraId="4A5B1DB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73" w:type="pct"/>
            <w:noWrap w:val="0"/>
            <w:vAlign w:val="top"/>
          </w:tcPr>
          <w:p w14:paraId="43FB55D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33" w:type="pct"/>
            <w:noWrap w:val="0"/>
            <w:vAlign w:val="top"/>
          </w:tcPr>
          <w:p w14:paraId="0770AC4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AF201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9" w:type="pct"/>
            <w:noWrap w:val="0"/>
            <w:vAlign w:val="top"/>
          </w:tcPr>
          <w:p w14:paraId="76A4F76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86" w:type="pct"/>
            <w:noWrap w:val="0"/>
            <w:vAlign w:val="top"/>
          </w:tcPr>
          <w:p w14:paraId="53EBD6B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6" w:type="pct"/>
            <w:noWrap w:val="0"/>
            <w:vAlign w:val="top"/>
          </w:tcPr>
          <w:p w14:paraId="14C66B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73" w:type="pct"/>
            <w:noWrap w:val="0"/>
            <w:vAlign w:val="top"/>
          </w:tcPr>
          <w:p w14:paraId="2AD8CEE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33" w:type="pct"/>
            <w:noWrap w:val="0"/>
            <w:vAlign w:val="top"/>
          </w:tcPr>
          <w:p w14:paraId="464DA90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BFC0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9" w:type="pct"/>
            <w:noWrap w:val="0"/>
            <w:vAlign w:val="top"/>
          </w:tcPr>
          <w:p w14:paraId="22FF328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86" w:type="pct"/>
            <w:noWrap w:val="0"/>
            <w:vAlign w:val="top"/>
          </w:tcPr>
          <w:p w14:paraId="6DAF0A7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6" w:type="pct"/>
            <w:noWrap w:val="0"/>
            <w:vAlign w:val="top"/>
          </w:tcPr>
          <w:p w14:paraId="5387FA7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73" w:type="pct"/>
            <w:noWrap w:val="0"/>
            <w:vAlign w:val="top"/>
          </w:tcPr>
          <w:p w14:paraId="7F353E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33" w:type="pct"/>
            <w:noWrap w:val="0"/>
            <w:vAlign w:val="top"/>
          </w:tcPr>
          <w:p w14:paraId="5CD168E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E54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9" w:type="pct"/>
            <w:noWrap w:val="0"/>
            <w:vAlign w:val="top"/>
          </w:tcPr>
          <w:p w14:paraId="15B1C41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86" w:type="pct"/>
            <w:noWrap w:val="0"/>
            <w:vAlign w:val="top"/>
          </w:tcPr>
          <w:p w14:paraId="406D82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6" w:type="pct"/>
            <w:noWrap w:val="0"/>
            <w:vAlign w:val="top"/>
          </w:tcPr>
          <w:p w14:paraId="1169941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73" w:type="pct"/>
            <w:noWrap w:val="0"/>
            <w:vAlign w:val="top"/>
          </w:tcPr>
          <w:p w14:paraId="71E0527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33" w:type="pct"/>
            <w:noWrap w:val="0"/>
            <w:vAlign w:val="top"/>
          </w:tcPr>
          <w:p w14:paraId="0385161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302C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9" w:type="pct"/>
            <w:noWrap w:val="0"/>
            <w:vAlign w:val="top"/>
          </w:tcPr>
          <w:p w14:paraId="5D07E4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86" w:type="pct"/>
            <w:noWrap w:val="0"/>
            <w:vAlign w:val="top"/>
          </w:tcPr>
          <w:p w14:paraId="41DD31D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6" w:type="pct"/>
            <w:noWrap w:val="0"/>
            <w:vAlign w:val="top"/>
          </w:tcPr>
          <w:p w14:paraId="35F528D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73" w:type="pct"/>
            <w:noWrap w:val="0"/>
            <w:vAlign w:val="top"/>
          </w:tcPr>
          <w:p w14:paraId="099C612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33" w:type="pct"/>
            <w:noWrap w:val="0"/>
            <w:vAlign w:val="top"/>
          </w:tcPr>
          <w:p w14:paraId="301534C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3E70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59" w:type="pct"/>
            <w:noWrap w:val="0"/>
            <w:vAlign w:val="top"/>
          </w:tcPr>
          <w:p w14:paraId="19A4579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86" w:type="pct"/>
            <w:noWrap w:val="0"/>
            <w:vAlign w:val="top"/>
          </w:tcPr>
          <w:p w14:paraId="7E9E15F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246" w:type="pct"/>
            <w:noWrap w:val="0"/>
            <w:vAlign w:val="top"/>
          </w:tcPr>
          <w:p w14:paraId="1F75512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173" w:type="pct"/>
            <w:noWrap w:val="0"/>
            <w:vAlign w:val="top"/>
          </w:tcPr>
          <w:p w14:paraId="44E51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033" w:type="pct"/>
            <w:noWrap w:val="0"/>
            <w:vAlign w:val="top"/>
          </w:tcPr>
          <w:p w14:paraId="4F2421F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75ABD626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说明：1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本表须对采购产品按照顺序逐项填写，不得空缺；如空缺将视为没有实质性响应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文件。</w:t>
      </w:r>
    </w:p>
    <w:p w14:paraId="4134B62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偏离填写：正偏离、负偏离、相同。</w:t>
      </w:r>
    </w:p>
    <w:p w14:paraId="2E57A0CB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.产品</w:t>
      </w:r>
      <w:r>
        <w:rPr>
          <w:rFonts w:hint="eastAsia" w:ascii="仿宋_GB2312" w:hAnsi="宋体" w:eastAsia="仿宋_GB2312"/>
          <w:sz w:val="28"/>
          <w:szCs w:val="28"/>
        </w:rPr>
        <w:t>技术参数响应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情况供应商</w:t>
      </w:r>
      <w:r>
        <w:rPr>
          <w:rFonts w:hint="eastAsia" w:ascii="仿宋_GB2312" w:hAnsi="宋体" w:eastAsia="仿宋_GB2312"/>
          <w:sz w:val="28"/>
          <w:szCs w:val="28"/>
        </w:rPr>
        <w:t>必须据实填写，不可完全复制粘贴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hAnsi="宋体" w:eastAsia="仿宋_GB2312"/>
          <w:sz w:val="28"/>
          <w:szCs w:val="28"/>
        </w:rPr>
        <w:t>文件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lang w:eastAsia="zh-CN"/>
        </w:rPr>
        <w:t>“</w:t>
      </w:r>
      <w:r>
        <w:rPr>
          <w:rFonts w:hint="eastAsia" w:ascii="仿宋_GB2312" w:hAnsi="宋体" w:eastAsia="仿宋_GB2312"/>
          <w:sz w:val="28"/>
          <w:szCs w:val="28"/>
        </w:rPr>
        <w:t>第三章 磋商项目技术、服务、商务及其他要求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”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中</w:t>
      </w:r>
      <w:r>
        <w:rPr>
          <w:rFonts w:hint="eastAsia" w:ascii="仿宋_GB2312" w:hAnsi="宋体" w:eastAsia="仿宋_GB2312"/>
          <w:sz w:val="28"/>
          <w:szCs w:val="28"/>
        </w:rPr>
        <w:t>的技术要求，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此表后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需</w:t>
      </w:r>
      <w:r>
        <w:rPr>
          <w:rFonts w:hint="eastAsia" w:ascii="仿宋_GB2312" w:hAnsi="宋体" w:eastAsia="仿宋_GB2312"/>
          <w:sz w:val="28"/>
          <w:szCs w:val="28"/>
          <w:lang w:val="zh-CN"/>
        </w:rPr>
        <w:t>提供充足的佐证材料予以证明响应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情况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如若</w:t>
      </w:r>
      <w:r>
        <w:rPr>
          <w:rFonts w:hint="eastAsia" w:ascii="仿宋_GB2312" w:hAnsi="宋体" w:eastAsia="仿宋_GB2312"/>
          <w:sz w:val="28"/>
          <w:szCs w:val="28"/>
        </w:rPr>
        <w:t>虚假响应，将取消其投标或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宋体" w:eastAsia="仿宋_GB2312"/>
          <w:sz w:val="28"/>
          <w:szCs w:val="28"/>
        </w:rPr>
        <w:t>资格，并按有关规定进行处罚。</w:t>
      </w:r>
    </w:p>
    <w:p w14:paraId="13CF8594">
      <w:pPr>
        <w:spacing w:line="360" w:lineRule="auto"/>
        <w:rPr>
          <w:rFonts w:hint="eastAsia" w:ascii="仿宋_GB2312" w:hAnsi="宋体" w:eastAsia="仿宋_GB2312"/>
          <w:sz w:val="28"/>
          <w:szCs w:val="28"/>
        </w:rPr>
      </w:pPr>
    </w:p>
    <w:p w14:paraId="409A1A26">
      <w:pPr>
        <w:spacing w:line="360" w:lineRule="auto"/>
        <w:ind w:firstLine="2800" w:firstLineChars="10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</w:p>
    <w:p w14:paraId="05281C5B">
      <w:pPr>
        <w:spacing w:line="360" w:lineRule="auto"/>
        <w:ind w:firstLine="2800" w:firstLineChars="1000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4D362FB5">
      <w:pPr>
        <w:pStyle w:val="2"/>
        <w:ind w:firstLine="2800" w:firstLineChars="1000"/>
        <w:jc w:val="both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</w:t>
      </w:r>
    </w:p>
    <w:p w14:paraId="5C9E8A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8E25B5E"/>
    <w:rsid w:val="10945158"/>
    <w:rsid w:val="12C3244D"/>
    <w:rsid w:val="13E14F93"/>
    <w:rsid w:val="16C151E3"/>
    <w:rsid w:val="334718A4"/>
    <w:rsid w:val="4FCB05FA"/>
    <w:rsid w:val="577D7FCF"/>
    <w:rsid w:val="6A2C3CB8"/>
    <w:rsid w:val="6B211D77"/>
    <w:rsid w:val="6E26547D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226</Characters>
  <Lines>0</Lines>
  <Paragraphs>0</Paragraphs>
  <TotalTime>1</TotalTime>
  <ScaleCrop>false</ScaleCrop>
  <LinksUpToDate>false</LinksUpToDate>
  <CharactersWithSpaces>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2025-08-11T10:07:14Z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