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版本号：HXGJXM2025--ZC-CS107620250812001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2025年高新区残疾人职业技能和实用技术培训(二次)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HXGJXM2025--ZC-CS1076</w:t>
      </w:r>
      <w:r>
        <w:br/>
      </w:r>
      <w:r>
        <w:br/>
      </w:r>
      <w:r>
        <w:br/>
      </w:r>
    </w:p>
    <w:p>
      <w:pPr>
        <w:pStyle w:val="null3"/>
        <w:jc w:val="center"/>
        <w:outlineLvl w:val="2"/>
      </w:pPr>
      <w:r>
        <w:rPr>
          <w:rFonts w:ascii="仿宋_GB2312" w:hAnsi="仿宋_GB2312" w:cs="仿宋_GB2312" w:eastAsia="仿宋_GB2312"/>
          <w:sz w:val="28"/>
          <w:b/>
        </w:rPr>
        <w:t>西安高新技术产业开发区社会事业服务局</w:t>
      </w:r>
    </w:p>
    <w:p>
      <w:pPr>
        <w:pStyle w:val="null3"/>
        <w:jc w:val="center"/>
        <w:outlineLvl w:val="2"/>
      </w:pPr>
      <w:r>
        <w:rPr>
          <w:rFonts w:ascii="仿宋_GB2312" w:hAnsi="仿宋_GB2312" w:cs="仿宋_GB2312" w:eastAsia="仿宋_GB2312"/>
          <w:sz w:val="28"/>
          <w:b/>
        </w:rPr>
        <w:t>华夏国际项目管理（西安）有限公司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西安高新技术产业开发区社会事业服务局</w:t>
      </w:r>
      <w:r>
        <w:rPr>
          <w:rFonts w:ascii="仿宋_GB2312" w:hAnsi="仿宋_GB2312" w:cs="仿宋_GB2312" w:eastAsia="仿宋_GB2312"/>
        </w:rPr>
        <w:t>委托，拟对</w:t>
      </w:r>
      <w:r>
        <w:rPr>
          <w:rFonts w:ascii="仿宋_GB2312" w:hAnsi="仿宋_GB2312" w:cs="仿宋_GB2312" w:eastAsia="仿宋_GB2312"/>
        </w:rPr>
        <w:t>2025年高新区残疾人职业技能和实用技术培训(二次)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HXGJXM2025--ZC-CS1076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2025年高新区残疾人职业技能和实用技术培训(二次)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2025年高新区残疾人职业技能和实用技术培训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采购包1（2025年高新区残疾人职业技能和实用技术培训）：属于专门面向中小企业采购。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授权书（（附法定代表人、被授权人身份证复印件及被授权人磋商截止日前一年内已缴存的至少一个月的社会保障资金凭证）；法定代表人直接参加磋商，须提供法定代表人身份证明。</w:t>
      </w:r>
    </w:p>
    <w:p>
      <w:pPr>
        <w:pStyle w:val="null3"/>
      </w:pPr>
      <w:r>
        <w:rPr>
          <w:rFonts w:ascii="仿宋_GB2312" w:hAnsi="仿宋_GB2312" w:cs="仿宋_GB2312" w:eastAsia="仿宋_GB2312"/>
        </w:rPr>
        <w:t>2、信用记录：供应商未被“信用中国”网站列入失信被执行人和重大税收违法失信主体，未被中国政府采购 网列入政府采购严重违法失信行为记录名单(处罚期限届满的除外)（以现场信用记录查询结果为准）。</w:t>
      </w:r>
    </w:p>
    <w:p>
      <w:pPr>
        <w:pStyle w:val="null3"/>
      </w:pPr>
      <w:r>
        <w:rPr>
          <w:rFonts w:ascii="仿宋_GB2312" w:hAnsi="仿宋_GB2312" w:cs="仿宋_GB2312" w:eastAsia="仿宋_GB2312"/>
        </w:rPr>
        <w:t>3、联合体：本项目不接受联合体磋商。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西安高新技术产业开发区社会事业服务局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西安高新区丝路创智谷6号楼6层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029-81116319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西安市莲湖区二环南路西段202号九座花园16层1605室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宋文倩、康敏茹、张艳萍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029-88899970-830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代理服务费收费标准：定额：5000元。 成交单位在领取成交通知书前，须向采购代理机构一次性支付招标代理服务费。 户名：华夏国际项目管理（西安）有限公司 开户行：中国工商银行股份有限公司西安城南科技支行 账号：3700024819200130193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西安高新技术产业开发区社会事业服务局</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西安高新技术产业开发区社会事业服务局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西安高新技术产业开发区社会事业服务局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华夏国际项目管理（西安）有限公司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联系人：宋文倩、康敏茹、张艳萍</w:t>
      </w:r>
    </w:p>
    <w:p>
      <w:pPr>
        <w:pStyle w:val="null3"/>
      </w:pPr>
      <w:r>
        <w:rPr>
          <w:rFonts w:ascii="仿宋_GB2312" w:hAnsi="仿宋_GB2312" w:cs="仿宋_GB2312" w:eastAsia="仿宋_GB2312"/>
        </w:rPr>
        <w:t>联系电话： 029-88899970-830</w:t>
      </w:r>
    </w:p>
    <w:p>
      <w:pPr>
        <w:pStyle w:val="null3"/>
      </w:pPr>
      <w:r>
        <w:rPr>
          <w:rFonts w:ascii="仿宋_GB2312" w:hAnsi="仿宋_GB2312" w:cs="仿宋_GB2312" w:eastAsia="仿宋_GB2312"/>
        </w:rPr>
        <w:t>地址：西安市莲湖区二环南路西段202号九座花园16层1605室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2025年高新区残疾人职业技能和实用技术培训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w:t>
      </w:r>
    </w:p>
    <w:p>
      <w:pPr>
        <w:pStyle w:val="null3"/>
      </w:pPr>
      <w:r>
        <w:rPr>
          <w:rFonts w:ascii="仿宋_GB2312" w:hAnsi="仿宋_GB2312" w:cs="仿宋_GB2312" w:eastAsia="仿宋_GB2312"/>
        </w:rPr>
        <w:t>采购包最高限价（元）: 180,000.00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残疾人职业技能和实用技术培训,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标的名称：残疾人职业技能和实用技术培训,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2"/>
                <w:b/>
              </w:rPr>
              <w:t>一、项目概况</w:t>
            </w:r>
          </w:p>
          <w:p>
            <w:pPr>
              <w:pStyle w:val="null3"/>
            </w:pPr>
            <w:r>
              <w:rPr>
                <w:rFonts w:ascii="仿宋_GB2312" w:hAnsi="仿宋_GB2312" w:cs="仿宋_GB2312" w:eastAsia="仿宋_GB2312"/>
              </w:rPr>
              <w:t>根据《西安市残疾人联合会 西安市财政局关于印发&lt;2024年西安市残疾人职业技能和实用技术培训项目实施方案&gt;的通知》(市残联发〔2024〕66号)要求，对全区在就业年龄段有劳动能力和培训需求的残疾人，委托第三方培训机构提供残疾人职业技能和实用技术培训服务项目。</w:t>
            </w:r>
          </w:p>
          <w:p>
            <w:pPr>
              <w:pStyle w:val="null3"/>
            </w:pPr>
            <w:r>
              <w:rPr>
                <w:rFonts w:ascii="仿宋_GB2312" w:hAnsi="仿宋_GB2312" w:cs="仿宋_GB2312" w:eastAsia="仿宋_GB2312"/>
                <w:sz w:val="22"/>
                <w:b/>
              </w:rPr>
              <w:t>二、服务内容</w:t>
            </w:r>
            <w:r>
              <w:rPr>
                <w:rFonts w:ascii="仿宋_GB2312" w:hAnsi="仿宋_GB2312" w:cs="仿宋_GB2312" w:eastAsia="仿宋_GB2312"/>
                <w:sz w:val="22"/>
                <w:b/>
              </w:rPr>
              <w:t>及要求</w:t>
            </w:r>
          </w:p>
          <w:p>
            <w:pPr>
              <w:pStyle w:val="null3"/>
            </w:pPr>
            <w:r>
              <w:rPr>
                <w:rFonts w:ascii="仿宋_GB2312" w:hAnsi="仿宋_GB2312" w:cs="仿宋_GB2312" w:eastAsia="仿宋_GB2312"/>
              </w:rPr>
              <w:t>职业技能培训服务是对具有高新区户籍并持有《中华人民共和国残疾人证》、处于就业年龄段（男16至59岁，女16至54岁）有培训意愿的残疾人，委托第三方培训机构进行面授职业技能培训。</w:t>
            </w:r>
          </w:p>
          <w:p>
            <w:pPr>
              <w:pStyle w:val="null3"/>
            </w:pPr>
            <w:r>
              <w:rPr>
                <w:rFonts w:ascii="仿宋_GB2312" w:hAnsi="仿宋_GB2312" w:cs="仿宋_GB2312" w:eastAsia="仿宋_GB2312"/>
              </w:rPr>
              <w:t>承接残疾人职业培训的培训机构主要职责：</w:t>
            </w:r>
          </w:p>
          <w:p>
            <w:pPr>
              <w:pStyle w:val="null3"/>
            </w:pPr>
            <w:r>
              <w:rPr>
                <w:rFonts w:ascii="仿宋_GB2312" w:hAnsi="仿宋_GB2312" w:cs="仿宋_GB2312" w:eastAsia="仿宋_GB2312"/>
              </w:rPr>
              <w:t>（一）制定培训项目实施方案，实施方案应当根据培训计划制定，主要包括培训目标、时间、地点、人数、方式，培训对象、课程设置、师资安排、报名方式、考试考核、应急预案、生活管理安排（住宿班）等内容。</w:t>
            </w:r>
          </w:p>
          <w:p>
            <w:pPr>
              <w:pStyle w:val="null3"/>
            </w:pPr>
            <w:r>
              <w:rPr>
                <w:rFonts w:ascii="仿宋_GB2312" w:hAnsi="仿宋_GB2312" w:cs="仿宋_GB2312" w:eastAsia="仿宋_GB2312"/>
              </w:rPr>
              <w:t>不同培训项目不得混合开班。课程内容应当符合残疾人特点，突出专业理论知识和实操技能训练。实操技能训练学时一般不少于总学时的50％。职业素质培训学时应当不少于总课时的10％，包括法律法规、职业道德、工作纪律、劳动保障、工匠精神、务工常识等内容。培训时长根据培训对象的残疾类别、残疾程度、学历状况、接受能力和培训项目要求合理设定。</w:t>
            </w:r>
          </w:p>
          <w:p>
            <w:pPr>
              <w:pStyle w:val="null3"/>
            </w:pPr>
            <w:r>
              <w:rPr>
                <w:rFonts w:ascii="仿宋_GB2312" w:hAnsi="仿宋_GB2312" w:cs="仿宋_GB2312" w:eastAsia="仿宋_GB2312"/>
              </w:rPr>
              <w:t>（二）发布招生简章，组织符合条件的残疾人报名。</w:t>
            </w:r>
          </w:p>
          <w:p>
            <w:pPr>
              <w:pStyle w:val="null3"/>
            </w:pPr>
            <w:r>
              <w:rPr>
                <w:rFonts w:ascii="仿宋_GB2312" w:hAnsi="仿宋_GB2312" w:cs="仿宋_GB2312" w:eastAsia="仿宋_GB2312"/>
              </w:rPr>
              <w:t>（三）提出开班申请，经批准后按时开班。开班申请应于培训班开班前不少于5个工作日前提出。申请材料应当包括培训实施方案、学员登记表、课程表等。</w:t>
            </w:r>
          </w:p>
          <w:p>
            <w:pPr>
              <w:pStyle w:val="null3"/>
            </w:pPr>
            <w:r>
              <w:rPr>
                <w:rFonts w:ascii="仿宋_GB2312" w:hAnsi="仿宋_GB2312" w:cs="仿宋_GB2312" w:eastAsia="仿宋_GB2312"/>
              </w:rPr>
              <w:t>（四）组织开展授课、答疑、讨论、实操等教学活动。培训班应当至少配备一名班主任、一名生活管理员（住宿班）和必要的教辅人员。应当制发学员手册，提供服务指南，明确班级管理制度、课程安排、作息时间、班级规章等，严肃学习和考勤纪律，保证安全有序。</w:t>
            </w:r>
          </w:p>
          <w:p>
            <w:pPr>
              <w:pStyle w:val="null3"/>
            </w:pPr>
            <w:r>
              <w:rPr>
                <w:rFonts w:ascii="仿宋_GB2312" w:hAnsi="仿宋_GB2312" w:cs="仿宋_GB2312" w:eastAsia="仿宋_GB2312"/>
              </w:rPr>
              <w:t>（五）组织培训考核。培训考核应当提供合理便利，包括理论和实操两个部分。培训项目列入职业资格考试、职业技能等级认定、专项职业能力考核范围的，按相关规定和标准执行；未列入的，由培训机构制定考核方案、命制试题，报培训主办方同意后实施。难以组织理论考试的，重点考核实操技能，由授课老师形成考核报告提交培训主办方。</w:t>
            </w:r>
          </w:p>
          <w:p>
            <w:pPr>
              <w:pStyle w:val="null3"/>
            </w:pPr>
            <w:r>
              <w:rPr>
                <w:rFonts w:ascii="仿宋_GB2312" w:hAnsi="仿宋_GB2312" w:cs="仿宋_GB2312" w:eastAsia="仿宋_GB2312"/>
              </w:rPr>
              <w:t>（六）申请结项。结项申请应当于培训班结束后10个工作日内按要求提交全国残疾人职业培训管理服务系统。</w:t>
            </w:r>
          </w:p>
          <w:p>
            <w:pPr>
              <w:pStyle w:val="null3"/>
            </w:pPr>
            <w:r>
              <w:rPr>
                <w:rFonts w:ascii="仿宋_GB2312" w:hAnsi="仿宋_GB2312" w:cs="仿宋_GB2312" w:eastAsia="仿宋_GB2312"/>
                <w:sz w:val="22"/>
                <w:b/>
              </w:rPr>
              <w:t>三、服务机构数量</w:t>
            </w:r>
          </w:p>
          <w:p>
            <w:pPr>
              <w:pStyle w:val="null3"/>
            </w:pPr>
            <w:r>
              <w:rPr>
                <w:rFonts w:ascii="仿宋_GB2312" w:hAnsi="仿宋_GB2312" w:cs="仿宋_GB2312" w:eastAsia="仿宋_GB2312"/>
              </w:rPr>
              <w:t>采购一家培训机构进行项目服务。</w:t>
            </w:r>
          </w:p>
          <w:p>
            <w:pPr>
              <w:pStyle w:val="null3"/>
            </w:pPr>
            <w:r>
              <w:rPr>
                <w:rFonts w:ascii="仿宋_GB2312" w:hAnsi="仿宋_GB2312" w:cs="仿宋_GB2312" w:eastAsia="仿宋_GB2312"/>
                <w:sz w:val="22"/>
                <w:b/>
              </w:rPr>
              <w:t>四、服务人数及服务时间要求</w:t>
            </w:r>
          </w:p>
          <w:p>
            <w:pPr>
              <w:pStyle w:val="null3"/>
            </w:pPr>
            <w:r>
              <w:rPr>
                <w:rFonts w:ascii="仿宋_GB2312" w:hAnsi="仿宋_GB2312" w:cs="仿宋_GB2312" w:eastAsia="仿宋_GB2312"/>
              </w:rPr>
              <w:t xml:space="preserve">（一）服务人数 120 人。     </w:t>
            </w:r>
          </w:p>
          <w:p>
            <w:pPr>
              <w:pStyle w:val="null3"/>
            </w:pPr>
            <w:r>
              <w:rPr>
                <w:rFonts w:ascii="仿宋_GB2312" w:hAnsi="仿宋_GB2312" w:cs="仿宋_GB2312" w:eastAsia="仿宋_GB2312"/>
              </w:rPr>
              <w:t>（二）项目需于2025年10月底前完成。</w:t>
            </w:r>
          </w:p>
          <w:p>
            <w:pPr>
              <w:pStyle w:val="null3"/>
            </w:pPr>
            <w:r>
              <w:rPr>
                <w:rFonts w:ascii="仿宋_GB2312" w:hAnsi="仿宋_GB2312" w:cs="仿宋_GB2312" w:eastAsia="仿宋_GB2312"/>
                <w:sz w:val="22"/>
                <w:b/>
              </w:rPr>
              <w:t>五、服务费用</w:t>
            </w:r>
          </w:p>
          <w:p>
            <w:pPr>
              <w:pStyle w:val="null3"/>
              <w:ind w:firstLine="400"/>
            </w:pPr>
            <w:r>
              <w:rPr>
                <w:rFonts w:ascii="仿宋_GB2312" w:hAnsi="仿宋_GB2312" w:cs="仿宋_GB2312" w:eastAsia="仿宋_GB2312"/>
              </w:rPr>
              <w:t>合同价格应包括完成本项目所需的食宿费、交通费、设备费、材料费、教材费、课时及劳务费、管理费、宣传费、展览费、装裱费、场地租赁费、考察费、考核鉴定费、耗材费（包括水电费）等涉及的费用等在内的全部费用。甲方不再另付任何费用。</w:t>
            </w:r>
          </w:p>
          <w:p>
            <w:pPr>
              <w:pStyle w:val="null3"/>
            </w:pPr>
            <w:r>
              <w:rPr>
                <w:rFonts w:ascii="仿宋_GB2312" w:hAnsi="仿宋_GB2312" w:cs="仿宋_GB2312" w:eastAsia="仿宋_GB2312"/>
                <w:sz w:val="22"/>
                <w:b/>
              </w:rPr>
              <w:t>六</w:t>
            </w:r>
            <w:r>
              <w:rPr>
                <w:rFonts w:ascii="仿宋_GB2312" w:hAnsi="仿宋_GB2312" w:cs="仿宋_GB2312" w:eastAsia="仿宋_GB2312"/>
                <w:sz w:val="22"/>
                <w:b/>
              </w:rPr>
              <w:t xml:space="preserve">、商务要求  </w:t>
            </w:r>
            <w:r>
              <w:rPr>
                <w:rFonts w:ascii="仿宋_GB2312" w:hAnsi="仿宋_GB2312" w:cs="仿宋_GB2312" w:eastAsia="仿宋_GB2312"/>
              </w:rPr>
              <w:t xml:space="preserve">           </w:t>
            </w:r>
          </w:p>
          <w:p>
            <w:pPr>
              <w:pStyle w:val="null3"/>
            </w:pPr>
            <w:r>
              <w:rPr>
                <w:rFonts w:ascii="仿宋_GB2312" w:hAnsi="仿宋_GB2312" w:cs="仿宋_GB2312" w:eastAsia="仿宋_GB2312"/>
              </w:rPr>
              <w:t>（一）服务期限</w:t>
            </w:r>
          </w:p>
          <w:p>
            <w:pPr>
              <w:pStyle w:val="null3"/>
            </w:pPr>
            <w:r>
              <w:rPr>
                <w:rFonts w:ascii="仿宋_GB2312" w:hAnsi="仿宋_GB2312" w:cs="仿宋_GB2312" w:eastAsia="仿宋_GB2312"/>
              </w:rPr>
              <w:t>2025年10</w:t>
            </w:r>
            <w:r>
              <w:rPr>
                <w:rFonts w:ascii="仿宋_GB2312" w:hAnsi="仿宋_GB2312" w:cs="仿宋_GB2312" w:eastAsia="仿宋_GB2312"/>
              </w:rPr>
              <w:t>月底前完成。</w:t>
            </w:r>
          </w:p>
          <w:p>
            <w:pPr>
              <w:pStyle w:val="null3"/>
            </w:pPr>
            <w:r>
              <w:rPr>
                <w:rFonts w:ascii="仿宋_GB2312" w:hAnsi="仿宋_GB2312" w:cs="仿宋_GB2312" w:eastAsia="仿宋_GB2312"/>
              </w:rPr>
              <w:t>（二）款项结算</w:t>
            </w:r>
          </w:p>
          <w:p>
            <w:pPr>
              <w:pStyle w:val="null3"/>
            </w:pPr>
            <w:r>
              <w:rPr>
                <w:rFonts w:ascii="仿宋_GB2312" w:hAnsi="仿宋_GB2312" w:cs="仿宋_GB2312" w:eastAsia="仿宋_GB2312"/>
              </w:rPr>
              <w:t>合同签订后，达到付款条件起 30 日内，支付合同总金额的 40.00%。</w:t>
            </w:r>
          </w:p>
          <w:p>
            <w:pPr>
              <w:pStyle w:val="null3"/>
              <w:jc w:val="both"/>
            </w:pPr>
            <w:r>
              <w:rPr>
                <w:rFonts w:ascii="仿宋_GB2312" w:hAnsi="仿宋_GB2312" w:cs="仿宋_GB2312" w:eastAsia="仿宋_GB2312"/>
              </w:rPr>
              <w:t>服务期结束后，达到付款条件起 30 日内，支付合同总金额的 60.00%。</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2025年10月底前完成。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服务期结束后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1.提供合格有效的法人或者其他组织的营业执照等证明文件，自然人的身份证明；供应商是法人或其他组织的应提供营业执照等证明文件，供应商是自然人的应提供有效的自然人身份证明。 2.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 3.提供具有履行合同所必需的设备和专业技术能力的承诺； 4.税收缴纳证明：提供递交响应文件截止之日前一年内任意一个月的依法缴纳税收的完税证明，完税证明应有税务机关或代收机关的公章或业务专用章。依法免税或无须缴纳税收的供应商，应提供相应证明文件； 5.社会保障资金缴纳证明：提供投标文件递交截止日前一年内已缴存的至少一个月的社会保障资金缴存单据或社保机构开具的 社会保险参保缴费情况证明，依法不需要缴纳社会保障资金的单位应提供相关证明材料； 6.参加采购活动前3年内，在经营活动中没有重大违法记录的书面声明。</w:t>
            </w:r>
          </w:p>
        </w:tc>
        <w:tc>
          <w:tcPr>
            <w:tcW w:type="dxa" w:w="1661"/>
          </w:tcPr>
          <w:p>
            <w:pPr>
              <w:pStyle w:val="null3"/>
            </w:pPr>
            <w:r>
              <w:rPr>
                <w:rFonts w:ascii="仿宋_GB2312" w:hAnsi="仿宋_GB2312" w:cs="仿宋_GB2312" w:eastAsia="仿宋_GB2312"/>
              </w:rPr>
              <w:t>磋商资格证明文件.docx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磋商资格证明文件.docx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磋商资格证明文件.docx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法定代表人授权书（（附法定代表人、被授权人身份证复印件及被授权人磋商截止日前一年内已缴存的至少一个月的社会保障资金凭证）；法定代表人直接参加磋商，须提供法定代表人身份证明。</w:t>
            </w:r>
          </w:p>
        </w:tc>
        <w:tc>
          <w:tcPr>
            <w:tcW w:type="dxa" w:w="1661"/>
          </w:tcPr>
          <w:p>
            <w:pPr>
              <w:pStyle w:val="null3"/>
            </w:pPr>
            <w:r>
              <w:rPr>
                <w:rFonts w:ascii="仿宋_GB2312" w:hAnsi="仿宋_GB2312" w:cs="仿宋_GB2312" w:eastAsia="仿宋_GB2312"/>
              </w:rPr>
              <w:t>磋商资格证明文件.docx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供应商未被“信用中国”网站列入失信被执行人和重大税收违法失信主体，未被中国政府采购 网列入政府采购严重违法失信行为记录名单(处罚期限届满的除外)（以现场信用记录查询结果为准）。</w:t>
            </w:r>
          </w:p>
        </w:tc>
        <w:tc>
          <w:tcPr>
            <w:tcW w:type="dxa" w:w="1661"/>
          </w:tcPr>
          <w:p>
            <w:pPr>
              <w:pStyle w:val="null3"/>
            </w:pPr>
            <w:r>
              <w:rPr>
                <w:rFonts w:ascii="仿宋_GB2312" w:hAnsi="仿宋_GB2312" w:cs="仿宋_GB2312" w:eastAsia="仿宋_GB2312"/>
              </w:rPr>
              <w:t>磋商资格证明文件.docx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磋商资格证明文件.docx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供应商应提交的相关业绩证明材料.docx 中小企业声明函 商务应答表.docx 报价表 供应商承诺书.docx 响应文件封面 残疾人福利性单位声明函 服务方案 标的清单 商务条款偏离表及投入人员汇总.docx 磋商资格证明文件.docx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供应商应提交的相关业绩证明材料.docx 中小企业声明函 报价表 商务应答表.docx 供应商承诺书.docx 响应文件封面 残疾人福利性单位声明函 服务方案 标的清单 商务条款偏离表及投入人员汇总.docx 磋商资格证明文件.docx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供应商应提交的相关业绩证明材料.docx 中小企业声明函 报价表 商务应答表.docx 供应商承诺书.docx 响应文件封面 残疾人福利性单位声明函 服务方案 标的清单 商务条款偏离表及投入人员汇总.docx 磋商资格证明文件.docx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供应商应提交的相关业绩证明材料.docx 中小企业声明函 报价表 商务应答表.docx 供应商承诺书.docx 响应文件封面 残疾人福利性单位声明函 服务方案 标的清单 商务条款偏离表及投入人员汇总.docx 磋商资格证明文件.docx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服务方案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服务期限（合同履行期限）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服务方案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服务方案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服务方案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供应商针对本项目提供培训大纲，内容应包括但不限于培训目标、时间、地点、人数、方式，培训对象、课程设置、师资安排、报名方式、考试考核、应急预案、生活管理安排（住宿班）等内容。 （1）方案制定详细、针对性强、可行性强计20分； （2）方案制定较详细 、针对性较强计15分； （3）方案制定一般、可行性一般计10分； （4）方案欠缺周全，可行性差计5分； 未提供的不得分。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商务条款偏离表及投入人员汇总.docx</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管理方案</w:t>
            </w:r>
          </w:p>
        </w:tc>
        <w:tc>
          <w:tcPr>
            <w:tcW w:type="dxa" w:w="2492"/>
          </w:tcPr>
          <w:p>
            <w:pPr>
              <w:pStyle w:val="null3"/>
            </w:pPr>
            <w:r>
              <w:rPr>
                <w:rFonts w:ascii="仿宋_GB2312" w:hAnsi="仿宋_GB2312" w:cs="仿宋_GB2312" w:eastAsia="仿宋_GB2312"/>
              </w:rPr>
              <w:t>供应商应针对本项目制定管理方案，管理方案包括但不限于对拟投入本项目的人员的管理制度，人员分工，岗位职责等。 （1）管理方案思路清晰、合理 、可行，对项目实施具有较强的指导作用的计15分； （2）管理方案思路较清晰、具有一定的合理性和可行性，对项目实施可起到一定指导作用的计10分； （3）管理方案思路基本清晰 、基本可行，项目基本可以正常实施的计5分。 （4）管理方案思路不清晰 、合理性和可行性较差，影响项目实施的计1分。 未提供的不得分；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考勤管理制度</w:t>
            </w:r>
          </w:p>
        </w:tc>
        <w:tc>
          <w:tcPr>
            <w:tcW w:type="dxa" w:w="2492"/>
          </w:tcPr>
          <w:p>
            <w:pPr>
              <w:pStyle w:val="null3"/>
            </w:pPr>
            <w:r>
              <w:rPr>
                <w:rFonts w:ascii="仿宋_GB2312" w:hAnsi="仿宋_GB2312" w:cs="仿宋_GB2312" w:eastAsia="仿宋_GB2312"/>
              </w:rPr>
              <w:t>供应商应针对本项目制定合理的考勤管理制度，要求准确记录学员出勤状况，及时记录并形成相应书面报告。 （1）管理制度思路清晰、合理 、可行，对项目实施具有较强的指导作用的计10分； （2）管理制度思路较清晰、具有一定的合理性和可行性，对项目实施可起到一定指导作用的计7分； （3）管理制度思路基本清晰 、基本可行，项目基本可以正常实施的计4分。 （4）管理制度思路不清晰 、合理性和可行性较差，影响项目实施的计1分。 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投入本项目的人员配备</w:t>
            </w:r>
          </w:p>
        </w:tc>
        <w:tc>
          <w:tcPr>
            <w:tcW w:type="dxa" w:w="2492"/>
          </w:tcPr>
          <w:p>
            <w:pPr>
              <w:pStyle w:val="null3"/>
            </w:pPr>
            <w:r>
              <w:rPr>
                <w:rFonts w:ascii="仿宋_GB2312" w:hAnsi="仿宋_GB2312" w:cs="仿宋_GB2312" w:eastAsia="仿宋_GB2312"/>
              </w:rPr>
              <w:t>供应商拟投入本项目的人员配备充足，相关负责人及师资力量具有职称或专业技能职称，每提供一份证明材料的得2.5分，满分20分。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商务条款偏离表及投入人员汇总.docx</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合理化建议及承诺</w:t>
            </w:r>
          </w:p>
        </w:tc>
        <w:tc>
          <w:tcPr>
            <w:tcW w:type="dxa" w:w="2492"/>
          </w:tcPr>
          <w:p>
            <w:pPr>
              <w:pStyle w:val="null3"/>
            </w:pPr>
            <w:r>
              <w:rPr>
                <w:rFonts w:ascii="仿宋_GB2312" w:hAnsi="仿宋_GB2312" w:cs="仿宋_GB2312" w:eastAsia="仿宋_GB2312"/>
              </w:rPr>
              <w:t>（1）供应商针对本项目的服务承诺的合理、可行，能及时响应采购人的服务要求，有针对本项目，有利于采购人的合理化建设性意见计15分； （2）服务承诺的较合理，有合理化建议，能响应采购人的服务要求，提出的建议较合理的计10分； （3）服务承诺基本合理，建议基本合理，基本响应采购人的服务要求，提出的建议大致合理计5分； （4）服务承诺不合理，无合理化建议，不能响应采购人的服务要求，提出的建议较不合理计1分。 未提供的不得分；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商务条款偏离表及投入人员汇总.docx</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供应商须提供类似项目的业绩（2022年8月1日至今）（时间以合同签订时间为准，是否为类似业绩由专家认定），每提供一份得2分，满分10分。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价格评分将在合格投标人范围内进行，满足采购文件要求且投标价格最低的投标报价为评标基准价，评标基准价为满分。投标人的价格分统一按照下列公式计算： 投标报价得分=（评标基准价/投标报价）×10%×100； 注：以上计算结果小数点后保留两位小数，第三位四舍五入。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详见附件：商务条款偏离表及投入人员汇总.docx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详见附件：供应商应提交的相关业绩证明材料.docx</w:t>
      </w:r>
    </w:p>
    <w:p>
      <w:pPr>
        <w:pStyle w:val="null3"/>
        <w:ind w:firstLine="960"/>
      </w:pPr>
      <w:r>
        <w:rPr>
          <w:rFonts w:ascii="仿宋_GB2312" w:hAnsi="仿宋_GB2312" w:cs="仿宋_GB2312" w:eastAsia="仿宋_GB2312"/>
        </w:rPr>
        <w:t>详见附件：磋商资格证明文件.docx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