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21CE8">
      <w:pPr>
        <w:spacing w:before="156" w:beforeLines="50" w:after="156" w:afterLines="50"/>
        <w:jc w:val="center"/>
        <w:rPr>
          <w:rFonts w:ascii="仿宋_GB2312" w:hAnsi="仿宋" w:eastAsia="仿宋_GB2312" w:cs="仿宋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b/>
          <w:sz w:val="36"/>
        </w:rPr>
        <w:t>技术规格响应表</w:t>
      </w:r>
    </w:p>
    <w:tbl>
      <w:tblPr>
        <w:tblStyle w:val="7"/>
        <w:tblW w:w="949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8"/>
        <w:gridCol w:w="2268"/>
        <w:gridCol w:w="993"/>
        <w:gridCol w:w="1559"/>
        <w:gridCol w:w="1559"/>
      </w:tblGrid>
      <w:tr w14:paraId="5023F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51" w:type="dxa"/>
            <w:tcBorders>
              <w:top w:val="single" w:color="auto" w:sz="12" w:space="0"/>
            </w:tcBorders>
            <w:vAlign w:val="center"/>
          </w:tcPr>
          <w:p w14:paraId="7522335B">
            <w:pPr>
              <w:jc w:val="center"/>
              <w:rPr>
                <w:rFonts w:ascii="仿宋_GB2312" w:hAnsi="仿宋" w:eastAsia="仿宋_GB2312" w:cs="仿宋"/>
                <w:b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szCs w:val="21"/>
              </w:rPr>
              <w:t>序号</w:t>
            </w:r>
          </w:p>
        </w:tc>
        <w:tc>
          <w:tcPr>
            <w:tcW w:w="2268" w:type="dxa"/>
            <w:tcBorders>
              <w:top w:val="single" w:color="auto" w:sz="12" w:space="0"/>
            </w:tcBorders>
            <w:vAlign w:val="center"/>
          </w:tcPr>
          <w:p w14:paraId="52058FF6">
            <w:pPr>
              <w:jc w:val="center"/>
              <w:rPr>
                <w:rFonts w:ascii="仿宋_GB2312" w:hAnsi="仿宋" w:eastAsia="仿宋_GB2312" w:cs="仿宋"/>
                <w:b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szCs w:val="21"/>
              </w:rPr>
              <w:t>招标文件技术要求</w:t>
            </w:r>
          </w:p>
        </w:tc>
        <w:tc>
          <w:tcPr>
            <w:tcW w:w="2268" w:type="dxa"/>
            <w:tcBorders>
              <w:top w:val="single" w:color="auto" w:sz="12" w:space="0"/>
            </w:tcBorders>
            <w:vAlign w:val="center"/>
          </w:tcPr>
          <w:p w14:paraId="52946E07">
            <w:pPr>
              <w:jc w:val="center"/>
              <w:rPr>
                <w:rFonts w:ascii="仿宋_GB2312" w:hAnsi="仿宋" w:eastAsia="仿宋_GB2312" w:cs="仿宋"/>
                <w:b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szCs w:val="21"/>
              </w:rPr>
              <w:t>投标文件技术响应</w:t>
            </w:r>
          </w:p>
        </w:tc>
        <w:tc>
          <w:tcPr>
            <w:tcW w:w="993" w:type="dxa"/>
            <w:tcBorders>
              <w:top w:val="single" w:color="auto" w:sz="12" w:space="0"/>
            </w:tcBorders>
            <w:vAlign w:val="center"/>
          </w:tcPr>
          <w:p w14:paraId="086DCFD2">
            <w:pPr>
              <w:jc w:val="center"/>
              <w:rPr>
                <w:rFonts w:ascii="仿宋_GB2312" w:hAnsi="仿宋" w:eastAsia="仿宋_GB2312" w:cs="仿宋"/>
                <w:b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szCs w:val="21"/>
              </w:rPr>
              <w:t>偏离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 w14:paraId="63E5FED4">
            <w:pPr>
              <w:jc w:val="center"/>
              <w:rPr>
                <w:rFonts w:ascii="仿宋_GB2312" w:hAnsi="仿宋" w:eastAsia="仿宋_GB2312" w:cs="仿宋"/>
                <w:b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szCs w:val="21"/>
              </w:rPr>
              <w:t>偏差说明</w:t>
            </w:r>
          </w:p>
        </w:tc>
        <w:tc>
          <w:tcPr>
            <w:tcW w:w="1559" w:type="dxa"/>
            <w:tcBorders>
              <w:top w:val="single" w:color="auto" w:sz="12" w:space="0"/>
            </w:tcBorders>
          </w:tcPr>
          <w:p w14:paraId="10DFCECD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b/>
                <w:szCs w:val="21"/>
                <w:highlight w:val="red"/>
              </w:rPr>
            </w:pPr>
            <w:r>
              <w:rPr>
                <w:rFonts w:hint="eastAsia" w:ascii="仿宋_GB2312" w:hAnsi="仿宋" w:eastAsia="仿宋_GB2312" w:cs="仿宋"/>
                <w:b/>
                <w:szCs w:val="21"/>
                <w:highlight w:val="none"/>
              </w:rPr>
              <w:t>技术支撑资料页码</w:t>
            </w:r>
          </w:p>
        </w:tc>
      </w:tr>
      <w:tr w14:paraId="17178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11098CFD">
            <w:pPr>
              <w:jc w:val="center"/>
              <w:rPr>
                <w:rFonts w:ascii="仿宋_GB2312" w:hAnsi="仿宋" w:eastAsia="仿宋_GB2312" w:cs="仿宋"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Cs w:val="21"/>
              </w:rPr>
              <w:t>1</w:t>
            </w:r>
          </w:p>
        </w:tc>
        <w:tc>
          <w:tcPr>
            <w:tcW w:w="2268" w:type="dxa"/>
          </w:tcPr>
          <w:p w14:paraId="4C7BA2F0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2268" w:type="dxa"/>
          </w:tcPr>
          <w:p w14:paraId="0564A3A4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993" w:type="dxa"/>
          </w:tcPr>
          <w:p w14:paraId="353D9C1C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55604857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37A37714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  <w:highlight w:val="red"/>
              </w:rPr>
            </w:pPr>
          </w:p>
        </w:tc>
      </w:tr>
      <w:tr w14:paraId="31FC28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2EAA8C86">
            <w:pPr>
              <w:jc w:val="center"/>
              <w:rPr>
                <w:rFonts w:ascii="仿宋_GB2312" w:hAnsi="仿宋" w:eastAsia="仿宋_GB2312" w:cs="仿宋"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Cs w:val="21"/>
              </w:rPr>
              <w:t>2</w:t>
            </w:r>
          </w:p>
        </w:tc>
        <w:tc>
          <w:tcPr>
            <w:tcW w:w="2268" w:type="dxa"/>
          </w:tcPr>
          <w:p w14:paraId="37F16E72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2268" w:type="dxa"/>
          </w:tcPr>
          <w:p w14:paraId="25F8B963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993" w:type="dxa"/>
          </w:tcPr>
          <w:p w14:paraId="59A34116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6D3C8631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10553D8D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  <w:highlight w:val="red"/>
              </w:rPr>
            </w:pPr>
          </w:p>
        </w:tc>
      </w:tr>
      <w:tr w14:paraId="0118A7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56697C81">
            <w:pPr>
              <w:jc w:val="center"/>
              <w:rPr>
                <w:rFonts w:ascii="仿宋_GB2312" w:hAnsi="仿宋" w:eastAsia="仿宋_GB2312" w:cs="仿宋"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Cs w:val="21"/>
              </w:rPr>
              <w:t>3</w:t>
            </w:r>
          </w:p>
        </w:tc>
        <w:tc>
          <w:tcPr>
            <w:tcW w:w="2268" w:type="dxa"/>
          </w:tcPr>
          <w:p w14:paraId="6308DD2C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2268" w:type="dxa"/>
          </w:tcPr>
          <w:p w14:paraId="3FA699B4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993" w:type="dxa"/>
          </w:tcPr>
          <w:p w14:paraId="13721A15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79A0C34C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4E2AF2D4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  <w:highlight w:val="red"/>
              </w:rPr>
            </w:pPr>
          </w:p>
        </w:tc>
      </w:tr>
      <w:tr w14:paraId="765967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6B7B9F75">
            <w:pPr>
              <w:jc w:val="center"/>
              <w:rPr>
                <w:rFonts w:ascii="仿宋_GB2312" w:hAnsi="仿宋" w:eastAsia="仿宋_GB2312" w:cs="仿宋"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Cs w:val="21"/>
              </w:rPr>
              <w:t>4</w:t>
            </w:r>
          </w:p>
        </w:tc>
        <w:tc>
          <w:tcPr>
            <w:tcW w:w="2268" w:type="dxa"/>
          </w:tcPr>
          <w:p w14:paraId="7AB4672A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2268" w:type="dxa"/>
          </w:tcPr>
          <w:p w14:paraId="3AA86BEE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993" w:type="dxa"/>
          </w:tcPr>
          <w:p w14:paraId="303FE491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7E338E98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17C2DBC1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  <w:highlight w:val="red"/>
              </w:rPr>
            </w:pPr>
          </w:p>
        </w:tc>
      </w:tr>
      <w:tr w14:paraId="25274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12BE9D13">
            <w:pPr>
              <w:jc w:val="center"/>
              <w:rPr>
                <w:rFonts w:ascii="仿宋_GB2312" w:hAnsi="仿宋" w:eastAsia="仿宋_GB2312" w:cs="仿宋"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Cs w:val="21"/>
              </w:rPr>
              <w:t>5</w:t>
            </w:r>
          </w:p>
        </w:tc>
        <w:tc>
          <w:tcPr>
            <w:tcW w:w="2268" w:type="dxa"/>
          </w:tcPr>
          <w:p w14:paraId="42C01F4D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2268" w:type="dxa"/>
          </w:tcPr>
          <w:p w14:paraId="2054747C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993" w:type="dxa"/>
          </w:tcPr>
          <w:p w14:paraId="5D591FD8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03DF57EE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</w:tcPr>
          <w:p w14:paraId="0815EAA9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  <w:highlight w:val="red"/>
              </w:rPr>
            </w:pPr>
          </w:p>
        </w:tc>
      </w:tr>
      <w:tr w14:paraId="43748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tcBorders>
              <w:bottom w:val="single" w:color="auto" w:sz="12" w:space="0"/>
            </w:tcBorders>
            <w:vAlign w:val="center"/>
          </w:tcPr>
          <w:p w14:paraId="500BD1E1">
            <w:pPr>
              <w:jc w:val="center"/>
              <w:rPr>
                <w:rFonts w:ascii="仿宋_GB2312" w:hAnsi="仿宋" w:eastAsia="仿宋_GB2312" w:cs="仿宋"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Cs/>
                <w:szCs w:val="21"/>
              </w:rPr>
              <w:t>...</w:t>
            </w:r>
          </w:p>
        </w:tc>
        <w:tc>
          <w:tcPr>
            <w:tcW w:w="2268" w:type="dxa"/>
            <w:tcBorders>
              <w:bottom w:val="single" w:color="auto" w:sz="12" w:space="0"/>
            </w:tcBorders>
          </w:tcPr>
          <w:p w14:paraId="0320E93F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2268" w:type="dxa"/>
            <w:tcBorders>
              <w:bottom w:val="single" w:color="auto" w:sz="12" w:space="0"/>
            </w:tcBorders>
          </w:tcPr>
          <w:p w14:paraId="21B7FB82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993" w:type="dxa"/>
            <w:tcBorders>
              <w:bottom w:val="single" w:color="auto" w:sz="12" w:space="0"/>
            </w:tcBorders>
          </w:tcPr>
          <w:p w14:paraId="2FF009BA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  <w:tcBorders>
              <w:bottom w:val="single" w:color="auto" w:sz="12" w:space="0"/>
            </w:tcBorders>
          </w:tcPr>
          <w:p w14:paraId="1F262B85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</w:rPr>
            </w:pPr>
          </w:p>
        </w:tc>
        <w:tc>
          <w:tcPr>
            <w:tcW w:w="1559" w:type="dxa"/>
            <w:tcBorders>
              <w:bottom w:val="single" w:color="auto" w:sz="12" w:space="0"/>
            </w:tcBorders>
          </w:tcPr>
          <w:p w14:paraId="18D2D685">
            <w:pPr>
              <w:spacing w:line="440" w:lineRule="exact"/>
              <w:rPr>
                <w:rFonts w:ascii="仿宋_GB2312" w:hAnsi="仿宋" w:eastAsia="仿宋_GB2312" w:cs="仿宋"/>
                <w:b/>
                <w:sz w:val="32"/>
                <w:highlight w:val="red"/>
              </w:rPr>
            </w:pPr>
          </w:p>
        </w:tc>
      </w:tr>
    </w:tbl>
    <w:p w14:paraId="0E8D9B44">
      <w:pPr>
        <w:rPr>
          <w:rFonts w:ascii="仿宋_GB2312" w:hAnsi="仿宋" w:eastAsia="仿宋_GB2312" w:cs="仿宋"/>
          <w:b/>
          <w:bCs/>
          <w:sz w:val="22"/>
          <w:szCs w:val="21"/>
        </w:rPr>
      </w:pPr>
      <w:bookmarkStart w:id="0" w:name="_Toc3258"/>
      <w:bookmarkStart w:id="1" w:name="_Toc30052"/>
      <w:bookmarkStart w:id="2" w:name="_Toc2569"/>
      <w:r>
        <w:rPr>
          <w:rFonts w:hint="eastAsia" w:ascii="仿宋_GB2312" w:hAnsi="仿宋" w:eastAsia="仿宋_GB2312" w:cs="仿宋"/>
          <w:b/>
          <w:bCs/>
          <w:sz w:val="22"/>
          <w:szCs w:val="21"/>
        </w:rPr>
        <w:t>注：1.“偏离”栏中应填入：负偏离、响应、正偏离；“偏差说明”可以对偏离情况进行说明，或者不填写。</w:t>
      </w:r>
    </w:p>
    <w:p w14:paraId="320933EB">
      <w:pPr>
        <w:numPr>
          <w:ilvl w:val="0"/>
          <w:numId w:val="0"/>
        </w:numPr>
        <w:ind w:firstLine="433" w:firstLineChars="196"/>
        <w:rPr>
          <w:rFonts w:hint="eastAsia" w:ascii="仿宋_GB2312" w:hAnsi="仿宋" w:eastAsia="仿宋_GB2312" w:cs="仿宋"/>
          <w:b/>
          <w:bCs/>
          <w:sz w:val="22"/>
          <w:szCs w:val="21"/>
        </w:rPr>
      </w:pPr>
      <w:r>
        <w:rPr>
          <w:rFonts w:hint="eastAsia" w:ascii="仿宋_GB2312" w:hAnsi="仿宋" w:eastAsia="仿宋_GB2312" w:cs="仿宋"/>
          <w:b/>
          <w:bCs/>
          <w:kern w:val="2"/>
          <w:sz w:val="22"/>
          <w:szCs w:val="21"/>
          <w:lang w:val="en-US" w:eastAsia="zh-CN" w:bidi="ar-SA"/>
        </w:rPr>
        <w:t>2.</w:t>
      </w:r>
      <w:r>
        <w:rPr>
          <w:rFonts w:hint="eastAsia" w:ascii="仿宋_GB2312" w:hAnsi="仿宋" w:eastAsia="仿宋_GB2312" w:cs="仿宋"/>
          <w:b/>
          <w:bCs/>
          <w:sz w:val="22"/>
          <w:szCs w:val="21"/>
        </w:rPr>
        <w:t>投标人应根据“技术要求”相关内容进行逐条填写，同时投标人保证上表未填入内容均响应招标要求。</w:t>
      </w:r>
    </w:p>
    <w:p w14:paraId="63CD39F4">
      <w:pPr>
        <w:pStyle w:val="2"/>
        <w:numPr>
          <w:numId w:val="0"/>
        </w:numPr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b/>
          <w:bCs/>
          <w:kern w:val="2"/>
          <w:sz w:val="22"/>
          <w:szCs w:val="21"/>
          <w:lang w:val="en-US" w:eastAsia="zh-CN" w:bidi="ar-SA"/>
        </w:rPr>
        <w:t>3.标注“★”的参数须提供技术白皮书或彩色样本等技术支撑材料，不提供的视为无效响应。</w:t>
      </w:r>
    </w:p>
    <w:bookmarkEnd w:id="0"/>
    <w:bookmarkEnd w:id="1"/>
    <w:bookmarkEnd w:id="2"/>
    <w:p w14:paraId="66C94955">
      <w:pPr>
        <w:rPr>
          <w:rFonts w:ascii="仿宋_GB2312" w:hAnsi="仿宋" w:eastAsia="仿宋_GB2312" w:cs="仿宋"/>
          <w:b/>
          <w:bCs/>
        </w:rPr>
      </w:pPr>
      <w:r>
        <w:rPr>
          <w:rFonts w:hint="eastAsia" w:ascii="仿宋_GB2312" w:hAnsi="仿宋" w:eastAsia="仿宋_GB2312" w:cs="仿宋"/>
          <w:b/>
          <w:bCs/>
        </w:rPr>
        <w:br w:type="textWrapping"/>
      </w:r>
    </w:p>
    <w:p w14:paraId="302AB4FC">
      <w:pPr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法定代表人或其授权代表（签字或盖章）：</w:t>
      </w:r>
    </w:p>
    <w:p w14:paraId="224429C3">
      <w:pPr>
        <w:pStyle w:val="9"/>
        <w:rPr>
          <w:rFonts w:ascii="仿宋_GB2312" w:hAnsi="仿宋" w:eastAsia="仿宋_GB2312" w:cs="仿宋"/>
          <w:color w:val="auto"/>
        </w:rPr>
      </w:pPr>
    </w:p>
    <w:p w14:paraId="2038C903">
      <w:pPr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公章：</w:t>
      </w:r>
      <w:bookmarkStart w:id="3" w:name="_GoBack"/>
      <w:bookmarkEnd w:id="3"/>
    </w:p>
    <w:p w14:paraId="75ADBD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80FAA"/>
    <w:rsid w:val="0A78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ind w:firstLine="552"/>
    </w:pPr>
    <w:rPr>
      <w:rFonts w:ascii="宋体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2025-05-26T14:36:00Z</dcterms:created>
  <dc:creator>李瑞</dc:creator>
  <cp:lastModifiedBy>李瑞</cp:lastModifiedBy>
  <dcterms:modified xsi:type="dcterms:W3CDTF">2025-05-26T14:40:15Z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0AC402A397A94F13AD7B93FB497F9CC0_11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