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C7456">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272B4173">
      <w:pPr>
        <w:rPr>
          <w:rFonts w:hint="eastAsia" w:ascii="宋体" w:hAnsi="宋体" w:eastAsia="宋体" w:cs="宋体"/>
          <w:b/>
          <w:bCs/>
          <w:color w:val="auto"/>
          <w:sz w:val="28"/>
          <w:szCs w:val="28"/>
          <w:highlight w:val="none"/>
          <w:lang w:val="zh-CN"/>
        </w:rPr>
      </w:pPr>
    </w:p>
    <w:p w14:paraId="688A9E8A">
      <w:pPr>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b/>
          <w:color w:val="auto"/>
          <w:sz w:val="48"/>
          <w:szCs w:val="48"/>
          <w:highlight w:val="none"/>
          <w:lang w:val="en-US" w:eastAsia="zh-CN"/>
        </w:rPr>
      </w:pPr>
      <w:r>
        <w:rPr>
          <w:rFonts w:hint="eastAsia" w:ascii="宋体" w:hAnsi="宋体" w:eastAsia="宋体" w:cs="宋体"/>
          <w:b/>
          <w:color w:val="auto"/>
          <w:sz w:val="48"/>
          <w:szCs w:val="48"/>
          <w:highlight w:val="none"/>
          <w:lang w:val="en-US" w:eastAsia="zh-CN"/>
        </w:rPr>
        <w:t>高新区教育体育局社区教育项目</w:t>
      </w:r>
    </w:p>
    <w:p w14:paraId="5D82A26F">
      <w:pPr>
        <w:rPr>
          <w:rFonts w:hint="eastAsia" w:ascii="宋体" w:hAnsi="宋体" w:eastAsia="宋体" w:cs="宋体"/>
          <w:b/>
          <w:bCs/>
          <w:color w:val="auto"/>
          <w:sz w:val="28"/>
          <w:szCs w:val="28"/>
          <w:highlight w:val="none"/>
          <w:lang w:val="zh-CN"/>
        </w:rPr>
      </w:pPr>
    </w:p>
    <w:p w14:paraId="3E02FCC7">
      <w:pPr>
        <w:rPr>
          <w:rFonts w:hint="eastAsia" w:ascii="宋体" w:hAnsi="宋体" w:eastAsia="宋体" w:cs="宋体"/>
          <w:b/>
          <w:bCs/>
          <w:color w:val="auto"/>
          <w:sz w:val="28"/>
          <w:szCs w:val="28"/>
          <w:highlight w:val="none"/>
          <w:lang w:val="zh-CN"/>
        </w:rPr>
      </w:pPr>
    </w:p>
    <w:p w14:paraId="1B4D8F30">
      <w:pPr>
        <w:rPr>
          <w:rFonts w:hint="eastAsia" w:ascii="宋体" w:hAnsi="宋体" w:eastAsia="宋体" w:cs="宋体"/>
          <w:b/>
          <w:bCs/>
          <w:color w:val="auto"/>
          <w:sz w:val="28"/>
          <w:szCs w:val="28"/>
          <w:highlight w:val="none"/>
          <w:lang w:val="zh-CN"/>
        </w:rPr>
      </w:pPr>
    </w:p>
    <w:p w14:paraId="3F67FB8C">
      <w:pPr>
        <w:pStyle w:val="7"/>
        <w:rPr>
          <w:rFonts w:hint="eastAsia"/>
          <w:lang w:val="zh-CN"/>
        </w:rPr>
      </w:pPr>
    </w:p>
    <w:p w14:paraId="7D8512BD">
      <w:pPr>
        <w:rPr>
          <w:rFonts w:hint="eastAsia" w:ascii="宋体" w:hAnsi="宋体" w:eastAsia="宋体" w:cs="宋体"/>
          <w:b/>
          <w:bCs/>
          <w:color w:val="auto"/>
          <w:sz w:val="28"/>
          <w:szCs w:val="28"/>
          <w:highlight w:val="none"/>
          <w:lang w:val="zh-CN"/>
        </w:rPr>
      </w:pPr>
    </w:p>
    <w:p w14:paraId="12AAA357">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r>
        <w:rPr>
          <w:rFonts w:hint="eastAsia" w:ascii="宋体" w:hAnsi="宋体" w:eastAsia="宋体" w:cs="宋体"/>
          <w:b/>
          <w:sz w:val="72"/>
          <w:szCs w:val="72"/>
          <w:highlight w:val="none"/>
        </w:rPr>
        <w:t>服 务 合 同</w:t>
      </w:r>
    </w:p>
    <w:p w14:paraId="07A8C2C8">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52DCA034">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4DD75908">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2F885E46">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2BFE6711">
      <w:pPr>
        <w:rPr>
          <w:rFonts w:hint="eastAsia" w:ascii="宋体" w:hAnsi="宋体" w:eastAsia="宋体" w:cs="宋体"/>
          <w:b/>
          <w:bCs/>
          <w:color w:val="auto"/>
          <w:sz w:val="28"/>
          <w:szCs w:val="28"/>
          <w:highlight w:val="none"/>
          <w:lang w:val="zh-CN"/>
        </w:rPr>
      </w:pPr>
    </w:p>
    <w:p w14:paraId="195FBC03">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691B1A83">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04D4FBFA">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243F5C41">
      <w:pPr>
        <w:spacing w:line="600" w:lineRule="auto"/>
        <w:ind w:firstLine="1600" w:firstLineChars="5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甲方：</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eastAsia="zh-CN"/>
        </w:rPr>
        <w:t>西安高新技术产业开发区教育体育局</w:t>
      </w:r>
      <w:r>
        <w:rPr>
          <w:rFonts w:hint="eastAsia" w:ascii="宋体" w:hAnsi="宋体" w:eastAsia="宋体" w:cs="宋体"/>
          <w:color w:val="auto"/>
          <w:sz w:val="32"/>
          <w:szCs w:val="32"/>
          <w:highlight w:val="none"/>
          <w:u w:val="single"/>
        </w:rPr>
        <w:t xml:space="preserve"> </w:t>
      </w:r>
    </w:p>
    <w:p w14:paraId="5A20BBDB">
      <w:pPr>
        <w:pStyle w:val="3"/>
        <w:keepNext w:val="0"/>
        <w:keepLines w:val="0"/>
        <w:pageBreakBefore w:val="0"/>
        <w:widowControl w:val="0"/>
        <w:numPr>
          <w:ilvl w:val="0"/>
          <w:numId w:val="0"/>
        </w:numPr>
        <w:wordWrap/>
        <w:overflowPunct/>
        <w:topLinePunct w:val="0"/>
        <w:bidi w:val="0"/>
        <w:spacing w:line="600" w:lineRule="auto"/>
        <w:ind w:firstLine="1600" w:firstLineChars="500"/>
        <w:jc w:val="both"/>
        <w:rPr>
          <w:rFonts w:hint="default" w:ascii="宋体" w:hAnsi="宋体" w:eastAsia="宋体" w:cs="宋体"/>
          <w:color w:val="auto"/>
          <w:sz w:val="32"/>
          <w:szCs w:val="32"/>
          <w:highlight w:val="none"/>
          <w:u w:val="single"/>
          <w:lang w:val="en-US" w:eastAsia="zh-CN"/>
        </w:rPr>
      </w:pPr>
      <w:r>
        <w:rPr>
          <w:rFonts w:hint="eastAsia" w:ascii="宋体" w:hAnsi="宋体" w:eastAsia="宋体" w:cs="宋体"/>
          <w:color w:val="auto"/>
          <w:sz w:val="32"/>
          <w:szCs w:val="32"/>
          <w:highlight w:val="none"/>
        </w:rPr>
        <w:t>乙方：</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cs="宋体"/>
          <w:color w:val="auto"/>
          <w:sz w:val="32"/>
          <w:szCs w:val="32"/>
          <w:highlight w:val="none"/>
          <w:u w:val="single"/>
          <w:lang w:val="en-US" w:eastAsia="zh-CN"/>
        </w:rPr>
        <w:t xml:space="preserve">             </w:t>
      </w:r>
    </w:p>
    <w:p w14:paraId="584C06BF">
      <w:pPr>
        <w:spacing w:line="600" w:lineRule="auto"/>
        <w:ind w:firstLine="1600" w:firstLineChars="500"/>
        <w:rPr>
          <w:rFonts w:hint="default" w:ascii="宋体" w:hAnsi="宋体" w:eastAsia="宋体" w:cs="宋体"/>
          <w:sz w:val="32"/>
          <w:szCs w:val="32"/>
          <w:u w:val="none"/>
          <w:lang w:val="en-US" w:eastAsia="zh-CN"/>
        </w:rPr>
      </w:pPr>
      <w:r>
        <w:rPr>
          <w:rFonts w:hint="eastAsia" w:ascii="宋体" w:hAnsi="宋体" w:eastAsia="宋体" w:cs="宋体"/>
          <w:color w:val="auto"/>
          <w:sz w:val="32"/>
          <w:szCs w:val="32"/>
          <w:highlight w:val="none"/>
          <w:u w:val="none"/>
          <w:lang w:val="en-US" w:eastAsia="zh-CN"/>
        </w:rPr>
        <w:t>签订时间：</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p>
    <w:p w14:paraId="3BA67DE4">
      <w:pPr>
        <w:pageBreakBefore w:val="0"/>
        <w:widowControl/>
        <w:kinsoku/>
        <w:wordWrap/>
        <w:overflowPunct/>
        <w:topLinePunct w:val="0"/>
        <w:autoSpaceDE/>
        <w:autoSpaceDN/>
        <w:bidi w:val="0"/>
        <w:adjustRightInd/>
        <w:snapToGrid/>
        <w:spacing w:line="324" w:lineRule="auto"/>
        <w:jc w:val="center"/>
        <w:textAlignment w:val="auto"/>
        <w:rPr>
          <w:rFonts w:hint="eastAsia" w:ascii="宋体" w:hAnsi="宋体" w:eastAsia="宋体" w:cs="宋体"/>
          <w:b/>
          <w:color w:val="auto"/>
          <w:sz w:val="28"/>
          <w:szCs w:val="28"/>
          <w:highlight w:val="none"/>
          <w:lang w:val="en-US" w:eastAsia="zh-CN"/>
        </w:rPr>
      </w:pPr>
    </w:p>
    <w:p w14:paraId="54103A6C">
      <w:pPr>
        <w:pStyle w:val="7"/>
        <w:rPr>
          <w:rFonts w:hint="eastAsia"/>
          <w:lang w:val="en-US" w:eastAsia="zh-CN"/>
        </w:rPr>
      </w:pPr>
    </w:p>
    <w:p w14:paraId="401FF5B1">
      <w:pPr>
        <w:pageBreakBefore w:val="0"/>
        <w:widowControl/>
        <w:kinsoku/>
        <w:wordWrap/>
        <w:overflowPunct/>
        <w:topLinePunct w:val="0"/>
        <w:autoSpaceDE/>
        <w:autoSpaceDN/>
        <w:bidi w:val="0"/>
        <w:adjustRightInd/>
        <w:snapToGrid/>
        <w:spacing w:line="324" w:lineRule="auto"/>
        <w:jc w:val="center"/>
        <w:textAlignment w:val="auto"/>
        <w:rPr>
          <w:rFonts w:hint="default"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高新区教育体育局社区教育项目</w:t>
      </w:r>
      <w:r>
        <w:rPr>
          <w:rFonts w:hint="eastAsia" w:ascii="宋体" w:hAnsi="宋体" w:eastAsia="宋体" w:cs="宋体"/>
          <w:b/>
          <w:color w:val="auto"/>
          <w:sz w:val="28"/>
          <w:szCs w:val="28"/>
          <w:highlight w:val="none"/>
          <w:lang w:val="en-US" w:eastAsia="zh-CN"/>
        </w:rPr>
        <w:t>服务合同</w:t>
      </w:r>
    </w:p>
    <w:p w14:paraId="5EF7D347">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合同编号： </w:t>
      </w:r>
    </w:p>
    <w:p w14:paraId="6B582A82">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签订地点： </w:t>
      </w:r>
    </w:p>
    <w:p w14:paraId="38EE28FE">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签订时间： 年 月 日 </w:t>
      </w:r>
    </w:p>
    <w:p w14:paraId="44670DBA">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采购人（甲方）： </w:t>
      </w:r>
    </w:p>
    <w:p w14:paraId="280F1348">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供应商（乙方）： </w:t>
      </w:r>
    </w:p>
    <w:p w14:paraId="01898FD5">
      <w:pPr>
        <w:keepNext w:val="0"/>
        <w:keepLines w:val="0"/>
        <w:widowControl/>
        <w:suppressLineNumbers w:val="0"/>
        <w:ind w:firstLine="480" w:firstLineChars="20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根据《中华人民共和国政府采购法》及实施条例、《中华人民共和国民法典》和</w:t>
      </w:r>
      <w:r>
        <w:rPr>
          <w:rFonts w:hint="eastAsia" w:ascii="宋体" w:hAnsi="宋体" w:eastAsia="宋体" w:cs="宋体"/>
          <w:color w:val="000000"/>
          <w:kern w:val="0"/>
          <w:sz w:val="24"/>
          <w:szCs w:val="24"/>
          <w:u w:val="single"/>
          <w:lang w:val="en-US" w:eastAsia="zh-CN" w:bidi="ar"/>
        </w:rPr>
        <w:t xml:space="preserve">    （项目名称）    (采购项目编号：      )</w:t>
      </w:r>
      <w:r>
        <w:rPr>
          <w:rFonts w:hint="eastAsia" w:ascii="宋体" w:hAnsi="宋体" w:eastAsia="宋体" w:cs="宋体"/>
          <w:color w:val="000000"/>
          <w:kern w:val="0"/>
          <w:sz w:val="24"/>
          <w:szCs w:val="24"/>
          <w:lang w:val="en-US" w:eastAsia="zh-CN" w:bidi="ar"/>
        </w:rPr>
        <w:t>的竞争性磋商文件、乙方递交的响应文件等有关规定，为确保甲方采购项目的顺利实施，甲、乙双方在平等自愿原则下签订本合同，并共同遵守如下条款：</w:t>
      </w:r>
    </w:p>
    <w:p w14:paraId="5CAC8779">
      <w:pPr>
        <w:keepNext w:val="0"/>
        <w:keepLines w:val="0"/>
        <w:widowControl/>
        <w:numPr>
          <w:ilvl w:val="0"/>
          <w:numId w:val="1"/>
        </w:numPr>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项目基本情况 </w:t>
      </w:r>
    </w:p>
    <w:p w14:paraId="41CC5521">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第二条 合同期限</w:t>
      </w:r>
      <w:r>
        <w:rPr>
          <w:rFonts w:hint="eastAsia" w:ascii="宋体" w:hAnsi="宋体" w:eastAsia="宋体" w:cs="宋体"/>
          <w:color w:val="000000"/>
          <w:kern w:val="0"/>
          <w:sz w:val="24"/>
          <w:szCs w:val="24"/>
          <w:lang w:val="en-US" w:eastAsia="zh-CN" w:bidi="ar"/>
        </w:rPr>
        <w:t xml:space="preserve"> </w:t>
      </w:r>
    </w:p>
    <w:p w14:paraId="4962F939">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合同履行期限：</w:t>
      </w:r>
      <w:r>
        <w:rPr>
          <w:rFonts w:hint="eastAsia" w:ascii="宋体" w:hAnsi="宋体" w:eastAsia="宋体" w:cs="宋体"/>
          <w:color w:val="auto"/>
          <w:sz w:val="24"/>
          <w:szCs w:val="24"/>
          <w:highlight w:val="none"/>
        </w:rPr>
        <w:t>自合同签订之日起</w:t>
      </w:r>
      <w:r>
        <w:rPr>
          <w:rFonts w:hint="eastAsia" w:ascii="宋体" w:hAnsi="宋体" w:eastAsia="宋体" w:cs="宋体"/>
          <w:color w:val="auto"/>
          <w:sz w:val="24"/>
          <w:szCs w:val="24"/>
          <w:highlight w:val="none"/>
          <w:lang w:val="en-US" w:eastAsia="zh-CN"/>
        </w:rPr>
        <w:t>120日历天。</w:t>
      </w:r>
    </w:p>
    <w:p w14:paraId="53AECF7A">
      <w:pPr>
        <w:keepNext w:val="0"/>
        <w:keepLines w:val="0"/>
        <w:widowControl/>
        <w:numPr>
          <w:ilvl w:val="0"/>
          <w:numId w:val="0"/>
        </w:numPr>
        <w:suppressLineNumbers w:val="0"/>
        <w:ind w:leftChars="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第三条 服务内容与质量标准 </w:t>
      </w:r>
    </w:p>
    <w:p w14:paraId="46D97906">
      <w:pPr>
        <w:pStyle w:val="6"/>
        <w:numPr>
          <w:ilvl w:val="0"/>
          <w:numId w:val="0"/>
        </w:numPr>
        <w:ind w:leftChars="0"/>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满足甲方要求</w:t>
      </w:r>
    </w:p>
    <w:p w14:paraId="2DD8E14E">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4"/>
          <w:szCs w:val="24"/>
          <w:lang w:val="en-US" w:eastAsia="zh-CN" w:bidi="ar"/>
        </w:rPr>
        <w:t xml:space="preserve">第四条 合同价款 </w:t>
      </w:r>
    </w:p>
    <w:p w14:paraId="75060E34">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1.合同总价款为人民币(大写)：</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u w:val="none"/>
          <w:lang w:val="en-US" w:eastAsia="zh-CN" w:bidi="ar"/>
        </w:rPr>
        <w:t>元。</w:t>
      </w:r>
    </w:p>
    <w:p w14:paraId="5BD6F964">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2.本项目合同总价款由以下组成：</w:t>
      </w:r>
    </w:p>
    <w:p w14:paraId="2B040124">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3.甲方无须另向乙方支付本合同规定之外的其他任何费用。</w:t>
      </w:r>
    </w:p>
    <w:p w14:paraId="260B0E7E">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4.履约保证金：不涉及。</w:t>
      </w:r>
    </w:p>
    <w:p w14:paraId="483CB497">
      <w:pPr>
        <w:keepNext w:val="0"/>
        <w:keepLines w:val="0"/>
        <w:widowControl/>
        <w:suppressLineNumbers w:val="0"/>
        <w:jc w:val="left"/>
        <w:rPr>
          <w:rFonts w:hint="eastAsia" w:ascii="宋体" w:hAnsi="宋体" w:eastAsia="宋体" w:cs="宋体"/>
          <w:b/>
          <w:bCs/>
          <w:highlight w:val="none"/>
        </w:rPr>
      </w:pPr>
      <w:r>
        <w:rPr>
          <w:rFonts w:hint="eastAsia" w:ascii="宋体" w:hAnsi="宋体" w:eastAsia="宋体" w:cs="宋体"/>
          <w:b/>
          <w:bCs/>
          <w:color w:val="000000"/>
          <w:kern w:val="0"/>
          <w:sz w:val="24"/>
          <w:szCs w:val="24"/>
          <w:highlight w:val="none"/>
          <w:lang w:val="en-US" w:eastAsia="zh-CN" w:bidi="ar"/>
        </w:rPr>
        <w:t xml:space="preserve">第五条 付款方式、时间及付款条件 </w:t>
      </w:r>
    </w:p>
    <w:p w14:paraId="2FD48075">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1.中标单位出具合法有效的完税发票，支付合同总价款的40%；</w:t>
      </w:r>
    </w:p>
    <w:p w14:paraId="317368C9">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2.合同期满，提交项目服务报告，并经考核合格后，出具合法有效的完税发票，支付合同总价款的60%。</w:t>
      </w:r>
    </w:p>
    <w:p w14:paraId="75E738C3">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3.支付方式：银行转账。</w:t>
      </w:r>
    </w:p>
    <w:p w14:paraId="272BA367">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4.结算方式：乙方应于甲方每次付款前向甲方开具等额发票，持服务合同、发票，与甲方结算。</w:t>
      </w:r>
    </w:p>
    <w:p w14:paraId="29DF60E4">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5.每次付款前，乙方应向甲方提交付款申请，因乙方原因导致甲方支付延期的，甲方不承担违约责任。</w:t>
      </w:r>
    </w:p>
    <w:p w14:paraId="265BFE00">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第六条 交付时间、地点、方式 </w:t>
      </w:r>
    </w:p>
    <w:p w14:paraId="3E358BB0">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1.交付时间：自合同签订之日起至本次所有服务内容完成 </w:t>
      </w:r>
    </w:p>
    <w:p w14:paraId="706239B5">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2.交付地点：甲方指定地点 </w:t>
      </w:r>
    </w:p>
    <w:p w14:paraId="55585810">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3.交付条件：本次所有服务内容完成 </w:t>
      </w:r>
    </w:p>
    <w:p w14:paraId="283D8F1A">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甲方联系人及电话： </w:t>
      </w:r>
    </w:p>
    <w:p w14:paraId="68AD0662">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乙方联系人及电话：</w:t>
      </w:r>
    </w:p>
    <w:p w14:paraId="70057EB1">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第七条 质量保证及售后服务</w:t>
      </w:r>
      <w:r>
        <w:rPr>
          <w:rFonts w:hint="eastAsia" w:ascii="宋体" w:hAnsi="宋体" w:eastAsia="宋体" w:cs="宋体"/>
          <w:color w:val="000000"/>
          <w:kern w:val="0"/>
          <w:sz w:val="24"/>
          <w:szCs w:val="24"/>
          <w:lang w:val="en-US" w:eastAsia="zh-CN" w:bidi="ar"/>
        </w:rPr>
        <w:t xml:space="preserve"> </w:t>
      </w:r>
    </w:p>
    <w:p w14:paraId="52E77864">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1.质量保证：乙方应保证所提供的服务，符合甲方的要求。如不符时，乙方应负全责。并尽快处理解决，由此造成的损失和相关费用由乙方负责，甲方保留终止合同及索赔的权利。 </w:t>
      </w:r>
    </w:p>
    <w:p w14:paraId="41436F79">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2.售后服务：自项目开始之日起，直至本次所有服务内容完成。</w:t>
      </w:r>
    </w:p>
    <w:p w14:paraId="2B580877">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第八条 验收</w:t>
      </w:r>
      <w:r>
        <w:rPr>
          <w:rFonts w:hint="eastAsia" w:ascii="宋体" w:hAnsi="宋体" w:eastAsia="宋体" w:cs="宋体"/>
          <w:color w:val="000000"/>
          <w:kern w:val="0"/>
          <w:sz w:val="24"/>
          <w:szCs w:val="24"/>
          <w:lang w:val="en-US" w:eastAsia="zh-CN" w:bidi="ar"/>
        </w:rPr>
        <w:t xml:space="preserve"> </w:t>
      </w:r>
    </w:p>
    <w:p w14:paraId="2A5FA0D7">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w:t>
      </w:r>
    </w:p>
    <w:p w14:paraId="2EFFC389">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2.验收依据：采购文件、响应文件、澄清表(函)；政府采购合同及附件文本；国家相应的标准、规范；</w:t>
      </w:r>
    </w:p>
    <w:p w14:paraId="0A6522A7">
      <w:pPr>
        <w:keepNext w:val="0"/>
        <w:keepLines w:val="0"/>
        <w:widowControl/>
        <w:suppressLineNumbers w:val="0"/>
        <w:jc w:val="left"/>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3.验收过程中所产生的费用由供应商承担。4、提供的相关服务均应符合本项目采购需求、政府采购合同等约定，并符合国家或行业相关规范。</w:t>
      </w:r>
    </w:p>
    <w:p w14:paraId="5B091771">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4"/>
          <w:szCs w:val="24"/>
          <w:lang w:val="en-US" w:eastAsia="zh-CN" w:bidi="ar"/>
        </w:rPr>
        <w:t xml:space="preserve">第九条 无产权瑕疵条款 </w:t>
      </w:r>
    </w:p>
    <w:p w14:paraId="5A46BD53">
      <w:pPr>
        <w:keepNext w:val="0"/>
        <w:keepLines w:val="0"/>
        <w:widowControl/>
        <w:suppressLineNumbers w:val="0"/>
        <w:ind w:firstLine="480" w:firstLineChars="20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乙方保证所提供的服务的所有权完全属于乙方且无任何抵押、查封等产权瑕疵。如有产权瑕疵的，视为乙方违约，乙方应负担由此而产生的一切损失。 </w:t>
      </w:r>
    </w:p>
    <w:p w14:paraId="604C5601">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4"/>
          <w:szCs w:val="24"/>
          <w:lang w:val="en-US" w:eastAsia="zh-CN" w:bidi="ar"/>
        </w:rPr>
        <w:t xml:space="preserve">第十条 甲方的权利和义务 </w:t>
      </w:r>
    </w:p>
    <w:p w14:paraId="363A36AA">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14:paraId="1F5204C6">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2.甲方有权对乙方提供的服务进行定期考评，当考评结果未达到标准时，有权要求乙方返还已支付相应数额的费用。 </w:t>
      </w:r>
    </w:p>
    <w:p w14:paraId="7173D0E7">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3.负责检查监督乙方管理工作的实施及制度的执行情况。 </w:t>
      </w:r>
    </w:p>
    <w:p w14:paraId="74C6269C">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4.根据本合同规定，按时向乙方支付应付服务费用。 </w:t>
      </w:r>
    </w:p>
    <w:p w14:paraId="6C84F608">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5.国家法律、法规所规定由甲方承担的其它责任。 </w:t>
      </w:r>
    </w:p>
    <w:p w14:paraId="6D2F2E79">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第十一条 乙方的权利和义务</w:t>
      </w:r>
      <w:r>
        <w:rPr>
          <w:rFonts w:hint="eastAsia" w:ascii="宋体" w:hAnsi="宋体" w:eastAsia="宋体" w:cs="宋体"/>
          <w:color w:val="000000"/>
          <w:kern w:val="0"/>
          <w:sz w:val="24"/>
          <w:szCs w:val="24"/>
          <w:lang w:val="en-US" w:eastAsia="zh-CN" w:bidi="ar"/>
        </w:rPr>
        <w:t xml:space="preserve"> </w:t>
      </w:r>
    </w:p>
    <w:p w14:paraId="1F697CDC">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1.对本合同规定的委托服务范围内的项目享有管理权及服务义务。 </w:t>
      </w:r>
    </w:p>
    <w:p w14:paraId="3FC4BAEE">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2.根据本合同的规定向甲方收取相关服务费用，并有权在本项目管理范围内管理及合理使用。</w:t>
      </w:r>
    </w:p>
    <w:p w14:paraId="7CED9EEE">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3.及时向甲方通告本项目服务范围内有关服务的重大事项，及时配合处理投诉。</w:t>
      </w:r>
    </w:p>
    <w:p w14:paraId="2A137DE9">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4.接受项目行业管理部门及政府有关部门的指导，接受甲方的监督。 </w:t>
      </w:r>
    </w:p>
    <w:p w14:paraId="25E95CA0">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5.国家法律、法规所规定由乙方承担的其它责任。 </w:t>
      </w:r>
    </w:p>
    <w:p w14:paraId="4E51F0E0">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第十二条 违约责任</w:t>
      </w:r>
      <w:r>
        <w:rPr>
          <w:rFonts w:hint="eastAsia" w:ascii="宋体" w:hAnsi="宋体" w:eastAsia="宋体" w:cs="宋体"/>
          <w:color w:val="000000"/>
          <w:kern w:val="0"/>
          <w:sz w:val="24"/>
          <w:szCs w:val="24"/>
          <w:lang w:val="en-US" w:eastAsia="zh-CN" w:bidi="ar"/>
        </w:rPr>
        <w:t xml:space="preserve"> </w:t>
      </w:r>
    </w:p>
    <w:p w14:paraId="2D4FD6AE">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1.按《中华人民共和国民法典》中的相关条款执行。</w:t>
      </w:r>
    </w:p>
    <w:p w14:paraId="16B441AB">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20%的违约金。同时，政府采购监管部门有权依据《中华人民共和国政府采购法》及相关法律法规对乙方的违法行为进行相应的处罚。</w:t>
      </w:r>
    </w:p>
    <w:p w14:paraId="5C492003">
      <w:pPr>
        <w:keepNext w:val="0"/>
        <w:keepLines w:val="0"/>
        <w:widowControl/>
        <w:suppressLineNumbers w:val="0"/>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3.在本合同履行过程中，双方因违约或造成对方经济、社会效益等损失的应当赔偿。</w:t>
      </w:r>
    </w:p>
    <w:p w14:paraId="2A9AAACC">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4.未经甲方同意，乙方擅自向第三方转包、分包本合同内容，将按照有关法律法规，追究所有乙方企业或个人的法律责任。</w:t>
      </w:r>
    </w:p>
    <w:p w14:paraId="550C7384">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5.乙方履约延误。</w:t>
      </w:r>
    </w:p>
    <w:p w14:paraId="3614677B">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（1）未经甲方同意，乙方单方面延迟执行合同，甲方有权终止合同。</w:t>
      </w:r>
    </w:p>
    <w:p w14:paraId="0D448EFC">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在履行合同过程中，如果乙方遇到可能妨碍按时提供服务的情况，应及时以书面形式将拖延的事实，可能拖延的期限和理由通知甲方。甲方在收到乙方通知后，应尽快对情况进行评价，并确定是否通过修改合同酌情延长服务时间或对乙方加收误期赔偿金。</w:t>
      </w:r>
    </w:p>
    <w:p w14:paraId="4C2D0523">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6.服务期内，因乙方服务工作过失而造成的损失，乙方须承担相应的责任及甲方要求的合理赔偿，赔偿费用不超过合同总额。</w:t>
      </w:r>
    </w:p>
    <w:p w14:paraId="4873E11D">
      <w:pPr>
        <w:keepNext w:val="0"/>
        <w:keepLines w:val="0"/>
        <w:widowControl/>
        <w:suppressLineNumbers w:val="0"/>
        <w:jc w:val="left"/>
        <w:rPr>
          <w:rFonts w:hint="eastAsia" w:ascii="宋体" w:hAnsi="宋体" w:eastAsia="宋体" w:cs="宋体"/>
          <w:color w:val="auto"/>
          <w:sz w:val="24"/>
          <w:szCs w:val="24"/>
          <w:highlight w:val="none"/>
        </w:rPr>
      </w:pPr>
      <w:r>
        <w:rPr>
          <w:rFonts w:hint="eastAsia" w:ascii="宋体" w:hAnsi="宋体" w:eastAsia="宋体" w:cs="宋体"/>
          <w:color w:val="000000"/>
          <w:kern w:val="0"/>
          <w:sz w:val="24"/>
          <w:szCs w:val="24"/>
          <w:lang w:val="en-US" w:eastAsia="zh-CN" w:bidi="ar"/>
        </w:rPr>
        <w:t>7.乙方应保证所提供的服务不会出现因第三方提出侵犯其专利权、商标权或其它知识产权而引发法律或经济纠纷，否则由乙方承担全部责任。任何被乙方用于未经授权的商业目的行为所造成的违约或侵权责任由乙方承担。</w:t>
      </w:r>
    </w:p>
    <w:p w14:paraId="0C16EF67">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第十三条 不可抗力事件处理</w:t>
      </w:r>
    </w:p>
    <w:p w14:paraId="37309A36">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1.在合同有效期内，任何一方因不可抗力事件导致不能履行合同，则合同履行期可延长，其延长期与不可抗力影响期相同。 </w:t>
      </w:r>
    </w:p>
    <w:p w14:paraId="67F9605F">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2.不可抗力事件发生后，应立即通知对方，并寄送有关权威机构出具的证明。 </w:t>
      </w:r>
    </w:p>
    <w:p w14:paraId="15CB6F44">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3.不可抗力事件延续30天以上，双方应通过友好协商，确定是否继续履行合同。</w:t>
      </w:r>
      <w:r>
        <w:rPr>
          <w:rFonts w:hint="eastAsia" w:ascii="宋体" w:hAnsi="宋体" w:eastAsia="宋体" w:cs="宋体"/>
          <w:b/>
          <w:bCs/>
          <w:color w:val="000000"/>
          <w:kern w:val="0"/>
          <w:sz w:val="24"/>
          <w:szCs w:val="24"/>
          <w:lang w:val="en-US" w:eastAsia="zh-CN" w:bidi="ar"/>
        </w:rPr>
        <w:t>第十四条 合同的变更和终止</w:t>
      </w:r>
      <w:r>
        <w:rPr>
          <w:rFonts w:hint="eastAsia" w:ascii="宋体" w:hAnsi="宋体" w:eastAsia="宋体" w:cs="宋体"/>
          <w:color w:val="000000"/>
          <w:kern w:val="0"/>
          <w:sz w:val="24"/>
          <w:szCs w:val="24"/>
          <w:lang w:val="en-US" w:eastAsia="zh-CN" w:bidi="ar"/>
        </w:rPr>
        <w:t xml:space="preserve"> </w:t>
      </w:r>
    </w:p>
    <w:p w14:paraId="32ACE8AF">
      <w:pPr>
        <w:keepNext w:val="0"/>
        <w:keepLines w:val="0"/>
        <w:widowControl/>
        <w:suppressLineNumbers w:val="0"/>
        <w:ind w:firstLine="480" w:firstLineChars="20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除《中华人民共和国政府采购法》第49条、第50条第二款规定的情形外，本合同一经签订，甲乙双方不得擅自变更、中止或终止合同。 </w:t>
      </w:r>
    </w:p>
    <w:p w14:paraId="32FB75AF">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4"/>
          <w:szCs w:val="24"/>
          <w:lang w:val="en-US" w:eastAsia="zh-CN" w:bidi="ar"/>
        </w:rPr>
        <w:t>第十五条 争议解决条款</w:t>
      </w:r>
      <w:r>
        <w:rPr>
          <w:rFonts w:hint="eastAsia" w:ascii="宋体" w:hAnsi="宋体" w:eastAsia="宋体" w:cs="宋体"/>
          <w:color w:val="000000"/>
          <w:kern w:val="0"/>
          <w:sz w:val="24"/>
          <w:szCs w:val="24"/>
          <w:lang w:val="en-US" w:eastAsia="zh-CN" w:bidi="ar"/>
        </w:rPr>
        <w:t xml:space="preserve"> </w:t>
      </w:r>
    </w:p>
    <w:p w14:paraId="2E5DD7BA">
      <w:pPr>
        <w:keepNext w:val="0"/>
        <w:keepLines w:val="0"/>
        <w:widowControl/>
        <w:suppressLineNumbers w:val="0"/>
        <w:ind w:firstLine="480" w:firstLineChars="20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在执行本合同中发生的或与本合同有关的争端，双方应通过友好协商解决，经协商在7天内不能达成协议时，双方均可向甲方所在地有管辖权的人民法院提起诉讼。</w:t>
      </w:r>
    </w:p>
    <w:p w14:paraId="17B1C887">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4"/>
          <w:szCs w:val="24"/>
          <w:lang w:val="en-US" w:eastAsia="zh-CN" w:bidi="ar"/>
        </w:rPr>
        <w:t xml:space="preserve">第十六条 合同生效及其他 </w:t>
      </w:r>
    </w:p>
    <w:p w14:paraId="2421A18D">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1.合同经双方法定代表人或授权委托代理人签字并加盖单位公章后生效。</w:t>
      </w:r>
    </w:p>
    <w:p w14:paraId="2C566BDD">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 xml:space="preserve">2.合同执行中涉及采购资金和采购内容修改或补充的，须经政府采购监 管部门审批，并签书面补充协议报政府采购监督管理部门备案，方可作为主 合同不可分割的一部分。 </w:t>
      </w:r>
    </w:p>
    <w:p w14:paraId="6745502F">
      <w:pPr>
        <w:keepNext w:val="0"/>
        <w:keepLines w:val="0"/>
        <w:widowControl/>
        <w:numPr>
          <w:numId w:val="0"/>
        </w:numPr>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3.本合同一式陆份，自双方签章之日起起效。甲方叁份，乙方叁份，具有同等法律效力。</w:t>
      </w:r>
    </w:p>
    <w:tbl>
      <w:tblPr>
        <w:tblStyle w:val="13"/>
        <w:tblpPr w:leftFromText="180" w:rightFromText="180" w:vertAnchor="text" w:horzAnchor="page" w:tblpXSpec="center" w:tblpY="456"/>
        <w:tblOverlap w:val="never"/>
        <w:tblW w:w="86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94"/>
        <w:gridCol w:w="4645"/>
      </w:tblGrid>
      <w:tr w14:paraId="55B81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69" w:hRule="atLeast"/>
          <w:jc w:val="center"/>
        </w:trPr>
        <w:tc>
          <w:tcPr>
            <w:tcW w:w="3994" w:type="dxa"/>
            <w:shd w:val="clear" w:color="auto" w:fill="D7D7D7"/>
            <w:noWrap w:val="0"/>
            <w:vAlign w:val="top"/>
          </w:tcPr>
          <w:p w14:paraId="2C5985AE">
            <w:pPr>
              <w:pStyle w:val="12"/>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12"/>
                <w:sz w:val="24"/>
                <w:szCs w:val="24"/>
                <w:lang w:val="en-US" w:eastAsia="zh-CN"/>
              </w:rPr>
              <w:t>甲方</w:t>
            </w:r>
          </w:p>
        </w:tc>
        <w:tc>
          <w:tcPr>
            <w:tcW w:w="4645" w:type="dxa"/>
            <w:shd w:val="clear" w:color="auto" w:fill="D7D7D7"/>
            <w:noWrap w:val="0"/>
            <w:vAlign w:val="top"/>
          </w:tcPr>
          <w:p w14:paraId="03B85B47">
            <w:pPr>
              <w:pStyle w:val="12"/>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8"/>
                <w:sz w:val="24"/>
                <w:szCs w:val="24"/>
                <w:lang w:val="en-US" w:eastAsia="zh-CN"/>
              </w:rPr>
              <w:t>乙方</w:t>
            </w:r>
          </w:p>
        </w:tc>
      </w:tr>
      <w:tr w14:paraId="54413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7EBC1A53">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2"/>
                <w:sz w:val="24"/>
                <w:szCs w:val="24"/>
              </w:rPr>
              <w:t>采购人</w:t>
            </w:r>
            <w:r>
              <w:rPr>
                <w:rFonts w:hint="eastAsia"/>
                <w:color w:val="auto"/>
                <w:spacing w:val="-2"/>
                <w:sz w:val="24"/>
                <w:szCs w:val="24"/>
                <w:lang w:val="en-US" w:eastAsia="zh-CN"/>
              </w:rPr>
              <w:t>名称</w:t>
            </w:r>
            <w:r>
              <w:rPr>
                <w:color w:val="auto"/>
                <w:spacing w:val="-2"/>
                <w:sz w:val="24"/>
                <w:szCs w:val="24"/>
              </w:rPr>
              <w:t>（</w:t>
            </w:r>
            <w:r>
              <w:rPr>
                <w:rFonts w:hint="eastAsia"/>
                <w:color w:val="auto"/>
                <w:spacing w:val="-2"/>
                <w:sz w:val="24"/>
                <w:szCs w:val="24"/>
                <w:lang w:val="en-US" w:eastAsia="zh-CN"/>
              </w:rPr>
              <w:t>盖章</w:t>
            </w:r>
            <w:r>
              <w:rPr>
                <w:color w:val="auto"/>
                <w:spacing w:val="-2"/>
                <w:sz w:val="24"/>
                <w:szCs w:val="24"/>
              </w:rPr>
              <w:t>）</w:t>
            </w:r>
          </w:p>
        </w:tc>
        <w:tc>
          <w:tcPr>
            <w:tcW w:w="4645" w:type="dxa"/>
            <w:noWrap w:val="0"/>
            <w:vAlign w:val="center"/>
          </w:tcPr>
          <w:p w14:paraId="45E67881">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b w:val="0"/>
                <w:bCs w:val="0"/>
                <w:color w:val="auto"/>
                <w:sz w:val="24"/>
                <w:szCs w:val="24"/>
              </w:rPr>
            </w:pPr>
            <w:r>
              <w:rPr>
                <w:rFonts w:hint="eastAsia" w:ascii="宋体" w:hAnsi="宋体" w:eastAsia="宋体" w:cs="宋体"/>
                <w:b w:val="0"/>
                <w:bCs w:val="0"/>
                <w:color w:val="auto"/>
                <w:sz w:val="24"/>
                <w:szCs w:val="24"/>
                <w:highlight w:val="none"/>
                <w:lang w:val="en-US" w:eastAsia="zh-CN"/>
              </w:rPr>
              <w:t>成交供应商</w:t>
            </w:r>
            <w:r>
              <w:rPr>
                <w:b w:val="0"/>
                <w:bCs w:val="0"/>
                <w:color w:val="auto"/>
                <w:spacing w:val="-2"/>
                <w:sz w:val="24"/>
                <w:szCs w:val="24"/>
              </w:rPr>
              <w:t>（</w:t>
            </w:r>
            <w:r>
              <w:rPr>
                <w:rFonts w:hint="eastAsia"/>
                <w:b w:val="0"/>
                <w:bCs w:val="0"/>
                <w:color w:val="auto"/>
                <w:spacing w:val="-2"/>
                <w:sz w:val="24"/>
                <w:szCs w:val="24"/>
                <w:lang w:val="en-US" w:eastAsia="zh-CN"/>
              </w:rPr>
              <w:t>盖章</w:t>
            </w:r>
            <w:r>
              <w:rPr>
                <w:b w:val="0"/>
                <w:bCs w:val="0"/>
                <w:color w:val="auto"/>
                <w:spacing w:val="-2"/>
                <w:sz w:val="24"/>
                <w:szCs w:val="24"/>
              </w:rPr>
              <w:t>）</w:t>
            </w:r>
          </w:p>
        </w:tc>
      </w:tr>
      <w:tr w14:paraId="2B3E0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100D0ECC">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4"/>
                <w:sz w:val="24"/>
                <w:szCs w:val="24"/>
              </w:rPr>
              <w:t>地址：</w:t>
            </w:r>
          </w:p>
        </w:tc>
        <w:tc>
          <w:tcPr>
            <w:tcW w:w="4645" w:type="dxa"/>
            <w:noWrap w:val="0"/>
            <w:vAlign w:val="center"/>
          </w:tcPr>
          <w:p w14:paraId="16BFF7E6">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b w:val="0"/>
                <w:bCs w:val="0"/>
                <w:color w:val="auto"/>
                <w:sz w:val="24"/>
                <w:szCs w:val="24"/>
              </w:rPr>
            </w:pPr>
            <w:r>
              <w:rPr>
                <w:b w:val="0"/>
                <w:bCs w:val="0"/>
                <w:color w:val="auto"/>
                <w:spacing w:val="-4"/>
                <w:sz w:val="24"/>
                <w:szCs w:val="24"/>
              </w:rPr>
              <w:t>地址：</w:t>
            </w:r>
          </w:p>
        </w:tc>
      </w:tr>
      <w:tr w14:paraId="213A4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01DC986F">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10"/>
                <w:sz w:val="24"/>
                <w:szCs w:val="24"/>
              </w:rPr>
              <w:t>邮编：</w:t>
            </w:r>
          </w:p>
        </w:tc>
        <w:tc>
          <w:tcPr>
            <w:tcW w:w="4645" w:type="dxa"/>
            <w:noWrap w:val="0"/>
            <w:vAlign w:val="center"/>
          </w:tcPr>
          <w:p w14:paraId="26F02CCB">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10"/>
                <w:sz w:val="24"/>
                <w:szCs w:val="24"/>
              </w:rPr>
              <w:t>邮编：</w:t>
            </w:r>
          </w:p>
        </w:tc>
      </w:tr>
      <w:tr w14:paraId="6D8F6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2B89D047">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c>
          <w:tcPr>
            <w:tcW w:w="4645" w:type="dxa"/>
            <w:noWrap w:val="0"/>
            <w:vAlign w:val="center"/>
          </w:tcPr>
          <w:p w14:paraId="59438946">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r>
      <w:tr w14:paraId="0C5A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0396ACB7">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c>
          <w:tcPr>
            <w:tcW w:w="4645" w:type="dxa"/>
            <w:noWrap w:val="0"/>
            <w:vAlign w:val="center"/>
          </w:tcPr>
          <w:p w14:paraId="653ED765">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r>
      <w:tr w14:paraId="0DF7D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3FBC81DF">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13"/>
                <w:sz w:val="24"/>
                <w:szCs w:val="24"/>
              </w:rPr>
              <w:t>电话：</w:t>
            </w:r>
          </w:p>
        </w:tc>
        <w:tc>
          <w:tcPr>
            <w:tcW w:w="4645" w:type="dxa"/>
            <w:noWrap w:val="0"/>
            <w:vAlign w:val="center"/>
          </w:tcPr>
          <w:p w14:paraId="14B6A2C5">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13"/>
                <w:sz w:val="24"/>
                <w:szCs w:val="24"/>
              </w:rPr>
              <w:t>电话：</w:t>
            </w:r>
          </w:p>
        </w:tc>
      </w:tr>
      <w:tr w14:paraId="2FD34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4E08130A">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3"/>
                <w:sz w:val="24"/>
                <w:szCs w:val="24"/>
              </w:rPr>
              <w:t>传真：</w:t>
            </w:r>
          </w:p>
        </w:tc>
        <w:tc>
          <w:tcPr>
            <w:tcW w:w="4645" w:type="dxa"/>
            <w:noWrap w:val="0"/>
            <w:vAlign w:val="center"/>
          </w:tcPr>
          <w:p w14:paraId="20EAC5B0">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3"/>
                <w:sz w:val="24"/>
                <w:szCs w:val="24"/>
              </w:rPr>
              <w:t>传真：</w:t>
            </w:r>
          </w:p>
        </w:tc>
      </w:tr>
      <w:tr w14:paraId="3DC92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57E91983">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7"/>
                <w:sz w:val="24"/>
                <w:szCs w:val="24"/>
              </w:rPr>
              <w:t>电子邮箱：</w:t>
            </w:r>
          </w:p>
        </w:tc>
        <w:tc>
          <w:tcPr>
            <w:tcW w:w="4645" w:type="dxa"/>
            <w:noWrap w:val="0"/>
            <w:vAlign w:val="center"/>
          </w:tcPr>
          <w:p w14:paraId="3195E76D">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3"/>
                <w:sz w:val="24"/>
                <w:szCs w:val="24"/>
              </w:rPr>
              <w:t>开户银行：</w:t>
            </w:r>
          </w:p>
        </w:tc>
      </w:tr>
      <w:tr w14:paraId="316E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6040A92C">
            <w:pPr>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rFonts w:ascii="Arial"/>
                <w:color w:val="auto"/>
                <w:sz w:val="24"/>
                <w:szCs w:val="24"/>
              </w:rPr>
            </w:pPr>
          </w:p>
        </w:tc>
        <w:tc>
          <w:tcPr>
            <w:tcW w:w="4645" w:type="dxa"/>
            <w:noWrap w:val="0"/>
            <w:vAlign w:val="center"/>
          </w:tcPr>
          <w:p w14:paraId="5C6FFE74">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5"/>
                <w:sz w:val="24"/>
                <w:szCs w:val="24"/>
              </w:rPr>
              <w:t>账号：</w:t>
            </w:r>
          </w:p>
        </w:tc>
      </w:tr>
      <w:tr w14:paraId="72D4C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jc w:val="center"/>
        </w:trPr>
        <w:tc>
          <w:tcPr>
            <w:tcW w:w="3994" w:type="dxa"/>
            <w:noWrap w:val="0"/>
            <w:vAlign w:val="center"/>
          </w:tcPr>
          <w:p w14:paraId="03D6A221">
            <w:pPr>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rFonts w:ascii="Arial"/>
                <w:color w:val="auto"/>
                <w:sz w:val="24"/>
                <w:szCs w:val="24"/>
              </w:rPr>
            </w:pPr>
          </w:p>
        </w:tc>
        <w:tc>
          <w:tcPr>
            <w:tcW w:w="4645" w:type="dxa"/>
            <w:noWrap w:val="0"/>
            <w:vAlign w:val="center"/>
          </w:tcPr>
          <w:p w14:paraId="7BAA15A0">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8"/>
                <w:sz w:val="24"/>
                <w:szCs w:val="24"/>
              </w:rPr>
              <w:t>电子邮箱：</w:t>
            </w:r>
          </w:p>
        </w:tc>
      </w:tr>
      <w:tr w14:paraId="3237C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jc w:val="center"/>
        </w:trPr>
        <w:tc>
          <w:tcPr>
            <w:tcW w:w="3994" w:type="dxa"/>
            <w:noWrap w:val="0"/>
            <w:vAlign w:val="top"/>
          </w:tcPr>
          <w:p w14:paraId="1EF38B16">
            <w:pPr>
              <w:pStyle w:val="12"/>
              <w:keepNext w:val="0"/>
              <w:keepLines w:val="0"/>
              <w:pageBreakBefore w:val="0"/>
              <w:widowControl w:val="0"/>
              <w:kinsoku/>
              <w:wordWrap/>
              <w:overflowPunct/>
              <w:topLinePunct w:val="0"/>
              <w:autoSpaceDE/>
              <w:autoSpaceDN/>
              <w:bidi w:val="0"/>
              <w:adjustRightInd/>
              <w:snapToGrid/>
              <w:spacing w:line="440" w:lineRule="exact"/>
              <w:ind w:left="160"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5"/>
                <w:sz w:val="24"/>
                <w:szCs w:val="24"/>
              </w:rPr>
              <w:t xml:space="preserve">  </w:t>
            </w:r>
            <w:r>
              <w:rPr>
                <w:color w:val="auto"/>
                <w:spacing w:val="-13"/>
                <w:sz w:val="24"/>
                <w:szCs w:val="24"/>
              </w:rPr>
              <w:t>日</w:t>
            </w:r>
          </w:p>
        </w:tc>
        <w:tc>
          <w:tcPr>
            <w:tcW w:w="4645" w:type="dxa"/>
            <w:noWrap w:val="0"/>
            <w:vAlign w:val="top"/>
          </w:tcPr>
          <w:p w14:paraId="40209DE1">
            <w:pPr>
              <w:pStyle w:val="12"/>
              <w:keepNext w:val="0"/>
              <w:keepLines w:val="0"/>
              <w:pageBreakBefore w:val="0"/>
              <w:widowControl w:val="0"/>
              <w:kinsoku/>
              <w:wordWrap/>
              <w:overflowPunct/>
              <w:topLinePunct w:val="0"/>
              <w:autoSpaceDE/>
              <w:autoSpaceDN/>
              <w:bidi w:val="0"/>
              <w:adjustRightInd/>
              <w:snapToGrid/>
              <w:spacing w:line="440" w:lineRule="exact"/>
              <w:ind w:left="160"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6"/>
                <w:sz w:val="24"/>
                <w:szCs w:val="24"/>
              </w:rPr>
              <w:t xml:space="preserve">  </w:t>
            </w:r>
            <w:r>
              <w:rPr>
                <w:color w:val="auto"/>
                <w:spacing w:val="-13"/>
                <w:sz w:val="24"/>
                <w:szCs w:val="24"/>
              </w:rPr>
              <w:t>日</w:t>
            </w:r>
          </w:p>
        </w:tc>
      </w:tr>
    </w:tbl>
    <w:p w14:paraId="7E422F57">
      <w:pPr>
        <w:pStyle w:val="2"/>
        <w:numPr>
          <w:numId w:val="0"/>
        </w:numPr>
        <w:rPr>
          <w:rFonts w:hint="eastAsia"/>
        </w:rPr>
      </w:pPr>
    </w:p>
    <w:p w14:paraId="205B54F1">
      <w:pPr>
        <w:rPr>
          <w:rFonts w:hint="eastAsia"/>
        </w:rPr>
      </w:pPr>
    </w:p>
    <w:p w14:paraId="04013DDE">
      <w:pPr>
        <w:pStyle w:val="7"/>
        <w:rPr>
          <w:rFonts w:hint="eastAsia"/>
        </w:rPr>
      </w:pPr>
    </w:p>
    <w:p w14:paraId="214332CD">
      <w:pPr>
        <w:pStyle w:val="7"/>
        <w:rPr>
          <w:rFonts w:hint="eastAsia"/>
        </w:rPr>
      </w:pPr>
    </w:p>
    <w:p w14:paraId="5491E2FF">
      <w:pPr>
        <w:spacing w:line="360" w:lineRule="auto"/>
        <w:rPr>
          <w:rFonts w:hint="eastAsia" w:ascii="宋体" w:hAnsi="宋体" w:eastAsia="宋体" w:cs="宋体"/>
          <w:b/>
          <w:bCs/>
          <w:color w:val="auto"/>
          <w:sz w:val="24"/>
          <w:szCs w:val="24"/>
          <w:highlight w:val="none"/>
        </w:rPr>
      </w:pPr>
      <w:bookmarkStart w:id="0" w:name="_GoBack"/>
      <w:bookmarkEnd w:id="0"/>
      <w:r>
        <w:rPr>
          <w:rFonts w:hint="eastAsia" w:ascii="宋体" w:hAnsi="宋体" w:eastAsia="宋体" w:cs="宋体"/>
          <w:b/>
          <w:bCs/>
          <w:color w:val="auto"/>
          <w:sz w:val="24"/>
          <w:szCs w:val="24"/>
          <w:highlight w:val="none"/>
        </w:rPr>
        <w:t>附件一</w:t>
      </w:r>
    </w:p>
    <w:p w14:paraId="2CB42A63">
      <w:pPr>
        <w:pStyle w:val="5"/>
        <w:spacing w:after="0"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保密协议</w:t>
      </w:r>
    </w:p>
    <w:p w14:paraId="0EDC7183">
      <w:pPr>
        <w:spacing w:line="360" w:lineRule="auto"/>
        <w:ind w:firstLine="8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甲方：</w:t>
      </w:r>
      <w:r>
        <w:rPr>
          <w:rFonts w:hint="eastAsia" w:ascii="宋体" w:hAnsi="宋体" w:eastAsia="宋体" w:cs="宋体"/>
          <w:bCs/>
          <w:color w:val="auto"/>
          <w:sz w:val="24"/>
          <w:szCs w:val="24"/>
          <w:highlight w:val="none"/>
          <w:u w:val="single"/>
        </w:rPr>
        <w:t xml:space="preserve">                     </w:t>
      </w:r>
    </w:p>
    <w:p w14:paraId="550F4CB1">
      <w:pPr>
        <w:spacing w:line="360" w:lineRule="auto"/>
        <w:ind w:firstLine="8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Cs/>
          <w:color w:val="auto"/>
          <w:sz w:val="24"/>
          <w:szCs w:val="24"/>
          <w:highlight w:val="none"/>
          <w:u w:val="single"/>
        </w:rPr>
        <w:t xml:space="preserve">                     </w:t>
      </w:r>
    </w:p>
    <w:p w14:paraId="31FD4006">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一、总则</w:t>
      </w:r>
    </w:p>
    <w:p w14:paraId="5CF357D1">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（一）为确保甲乙双方在</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合作事宜有序开展，杜绝信息泄露事件的发生。经甲乙双方友好协商,签订本协议。</w:t>
      </w:r>
    </w:p>
    <w:p w14:paraId="5E9C89E6">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（二）本协议适用于的项目名称为：</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(项目编号：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6F68930A">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二、信息保密要求</w:t>
      </w:r>
    </w:p>
    <w:p w14:paraId="52EAD37A">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乙方须遵守以下条款，对项目涉及的信息进行保密：</w:t>
      </w:r>
    </w:p>
    <w:p w14:paraId="79F68621">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（一）乙方在提供服务过程中，应对所</w:t>
      </w:r>
      <w:r>
        <w:rPr>
          <w:rFonts w:hint="eastAsia" w:ascii="宋体" w:hAnsi="宋体" w:eastAsia="宋体" w:cs="宋体"/>
          <w:bCs/>
          <w:color w:val="auto"/>
          <w:sz w:val="24"/>
          <w:szCs w:val="24"/>
          <w:highlight w:val="none"/>
          <w:lang w:val="en-US" w:eastAsia="zh-CN"/>
        </w:rPr>
        <w:t>涉及的</w:t>
      </w:r>
      <w:r>
        <w:rPr>
          <w:rFonts w:hint="eastAsia" w:ascii="宋体" w:hAnsi="宋体" w:eastAsia="宋体" w:cs="宋体"/>
          <w:bCs/>
          <w:color w:val="auto"/>
          <w:sz w:val="24"/>
          <w:szCs w:val="24"/>
          <w:highlight w:val="none"/>
        </w:rPr>
        <w:t>信息做好保密</w:t>
      </w:r>
      <w:r>
        <w:rPr>
          <w:rFonts w:hint="eastAsia" w:ascii="宋体" w:hAnsi="宋体" w:eastAsia="宋体" w:cs="宋体"/>
          <w:bCs/>
          <w:color w:val="auto"/>
          <w:sz w:val="24"/>
          <w:szCs w:val="24"/>
          <w:highlight w:val="none"/>
          <w:lang w:val="en-US" w:eastAsia="zh-CN"/>
        </w:rPr>
        <w:t>工作</w:t>
      </w:r>
      <w:r>
        <w:rPr>
          <w:rFonts w:hint="eastAsia" w:ascii="宋体" w:hAnsi="宋体" w:eastAsia="宋体" w:cs="宋体"/>
          <w:bCs/>
          <w:color w:val="auto"/>
          <w:sz w:val="24"/>
          <w:szCs w:val="24"/>
          <w:highlight w:val="none"/>
        </w:rPr>
        <w:t>。</w:t>
      </w:r>
    </w:p>
    <w:p w14:paraId="0D77E59A">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（二）对来源于</w:t>
      </w:r>
      <w:r>
        <w:rPr>
          <w:rFonts w:hint="eastAsia" w:ascii="宋体" w:hAnsi="宋体" w:eastAsia="宋体" w:cs="宋体"/>
          <w:bCs/>
          <w:color w:val="auto"/>
          <w:sz w:val="24"/>
          <w:szCs w:val="24"/>
          <w:highlight w:val="none"/>
          <w:lang w:val="en-US" w:eastAsia="zh-CN"/>
        </w:rPr>
        <w:t>本项目涉及</w:t>
      </w:r>
      <w:r>
        <w:rPr>
          <w:rFonts w:hint="eastAsia" w:ascii="宋体" w:hAnsi="宋体" w:eastAsia="宋体" w:cs="宋体"/>
          <w:bCs/>
          <w:color w:val="auto"/>
          <w:sz w:val="24"/>
          <w:szCs w:val="24"/>
          <w:highlight w:val="none"/>
        </w:rPr>
        <w:t>的所有信息（包括但不限于相关技术资料、报告、摘要、纪要、文件、计划、报表、复印件等），乙方负有保密责任，应采取有效保密措施确保信息安全。</w:t>
      </w:r>
    </w:p>
    <w:p w14:paraId="6C56D5A9">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（三）乙方人员须在相关工作人员允许和在场的情况下对相关系统的信息数据进行操作，乙方不得擅自复制、传播相关系统的各类信息，不得外泄信息。</w:t>
      </w:r>
    </w:p>
    <w:p w14:paraId="293BC23D">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（四）乙方在完成相关服务后，将使用的安全技术设备带离现场时，须在监督下及时使用不可恢复的删除方式彻底删除设备内的相关系统内部信息。未经许可，不得带走有关文件、资料和数据。</w:t>
      </w:r>
    </w:p>
    <w:p w14:paraId="75CE8A4F">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（五）乙方在提供服务过程中，参与项目的乙方人员应遵守相关单位的有关规章制度。</w:t>
      </w:r>
    </w:p>
    <w:p w14:paraId="4BD6737F">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（六）服务完成后，乙方应将相关</w:t>
      </w:r>
      <w:r>
        <w:rPr>
          <w:rFonts w:hint="eastAsia" w:ascii="宋体" w:hAnsi="宋体" w:eastAsia="宋体" w:cs="宋体"/>
          <w:bCs/>
          <w:color w:val="auto"/>
          <w:sz w:val="24"/>
          <w:szCs w:val="24"/>
          <w:highlight w:val="none"/>
          <w:lang w:val="en-US" w:eastAsia="zh-CN"/>
        </w:rPr>
        <w:t>资料移交</w:t>
      </w:r>
      <w:r>
        <w:rPr>
          <w:rFonts w:hint="eastAsia" w:ascii="宋体" w:hAnsi="宋体" w:eastAsia="宋体" w:cs="宋体"/>
          <w:bCs/>
          <w:color w:val="auto"/>
          <w:sz w:val="24"/>
          <w:szCs w:val="24"/>
          <w:highlight w:val="none"/>
        </w:rPr>
        <w:t>甲方及相关单位，不得保留相关</w:t>
      </w:r>
      <w:r>
        <w:rPr>
          <w:rFonts w:hint="eastAsia" w:ascii="宋体" w:hAnsi="宋体" w:eastAsia="宋体" w:cs="宋体"/>
          <w:bCs/>
          <w:color w:val="auto"/>
          <w:sz w:val="24"/>
          <w:szCs w:val="24"/>
          <w:highlight w:val="none"/>
          <w:lang w:val="en-US" w:eastAsia="zh-CN"/>
        </w:rPr>
        <w:t>资料</w:t>
      </w:r>
      <w:r>
        <w:rPr>
          <w:rFonts w:hint="eastAsia" w:ascii="宋体" w:hAnsi="宋体" w:eastAsia="宋体" w:cs="宋体"/>
          <w:bCs/>
          <w:color w:val="auto"/>
          <w:sz w:val="24"/>
          <w:szCs w:val="24"/>
          <w:highlight w:val="none"/>
        </w:rPr>
        <w:t>的副本，相关纸质及电子资料必须销毁，防止信息外流。</w:t>
      </w:r>
    </w:p>
    <w:p w14:paraId="371A5C44">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（七）乙方在工作期间，严格遵守甲方及相关单位保密制度及有关规定，不得泄露相关</w:t>
      </w:r>
      <w:r>
        <w:rPr>
          <w:rFonts w:hint="eastAsia" w:ascii="宋体" w:hAnsi="宋体" w:eastAsia="宋体" w:cs="宋体"/>
          <w:bCs/>
          <w:color w:val="auto"/>
          <w:sz w:val="24"/>
          <w:szCs w:val="24"/>
          <w:highlight w:val="none"/>
          <w:lang w:val="en-US" w:eastAsia="zh-CN"/>
        </w:rPr>
        <w:t>信息</w:t>
      </w:r>
      <w:r>
        <w:rPr>
          <w:rFonts w:hint="eastAsia" w:ascii="宋体" w:hAnsi="宋体" w:eastAsia="宋体" w:cs="宋体"/>
          <w:bCs/>
          <w:color w:val="auto"/>
          <w:sz w:val="24"/>
          <w:szCs w:val="24"/>
          <w:highlight w:val="none"/>
        </w:rPr>
        <w:t>。</w:t>
      </w:r>
    </w:p>
    <w:p w14:paraId="43468DFA">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（八）本协议效力不受劳动合同订立及解除的影响，乙方工作人员调离乙方公司时，乙方公司应负责采取相关措施防止信息泄露；否则发生的项目信息泄露责任，由乙方负责。</w:t>
      </w:r>
    </w:p>
    <w:p w14:paraId="13578C05">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（九）乙方与乙方工作人员签订针对与本项目的保密协议，确保乙方工作人员严格执行本协议中保密条款。</w:t>
      </w:r>
    </w:p>
    <w:p w14:paraId="297BEDC6">
      <w:pPr>
        <w:spacing w:line="360" w:lineRule="auto"/>
        <w:ind w:firstLine="482"/>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三、甲方须遵守以下条款，对项目涉及的乙方内部信息进行保密</w:t>
      </w:r>
      <w:r>
        <w:rPr>
          <w:rFonts w:hint="eastAsia" w:ascii="宋体" w:hAnsi="宋体" w:eastAsia="宋体" w:cs="宋体"/>
          <w:bCs/>
          <w:color w:val="auto"/>
          <w:sz w:val="24"/>
          <w:szCs w:val="24"/>
          <w:highlight w:val="none"/>
          <w:lang w:eastAsia="zh-CN"/>
        </w:rPr>
        <w:t>：</w:t>
      </w:r>
    </w:p>
    <w:p w14:paraId="18484649">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（一）甲方提供涉密技术资料、数据时应向乙方明示。</w:t>
      </w:r>
    </w:p>
    <w:p w14:paraId="11710DC1">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（二）甲方不得向任何第三方披露乙方的工作程序，技术工具、设备、方法等。</w:t>
      </w:r>
    </w:p>
    <w:p w14:paraId="45E2E8BC">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（三）甲方不得向任何第三方披露乙方的技术资料或文档，包括但不限于项目过程文档、实施方案等。</w:t>
      </w:r>
    </w:p>
    <w:p w14:paraId="22A556FF">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四、保密期限</w:t>
      </w:r>
    </w:p>
    <w:p w14:paraId="5BF170A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本协议自双方签字盖章之日起生效，有效期为三年。如果所涉及的保密信息依照国家有关法律、法规其保密期限超过上述规定的年限，则双方的保密责任在这些法律法规规定的年限内继续有效。</w:t>
      </w:r>
    </w:p>
    <w:p w14:paraId="6D725F78">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五、违约责任</w:t>
      </w:r>
    </w:p>
    <w:p w14:paraId="35605458">
      <w:pPr>
        <w:spacing w:line="360" w:lineRule="auto"/>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乙方不得以任何理由、任何形式泄露甲方及相关系统的机密。</w:t>
      </w:r>
      <w:r>
        <w:rPr>
          <w:rFonts w:hint="eastAsia" w:ascii="宋体" w:hAnsi="宋体" w:eastAsia="宋体" w:cs="宋体"/>
          <w:bCs/>
          <w:color w:val="auto"/>
          <w:sz w:val="24"/>
          <w:szCs w:val="24"/>
          <w:highlight w:val="none"/>
          <w:lang w:val="en-US" w:eastAsia="zh-CN"/>
        </w:rPr>
        <w:t>若</w:t>
      </w:r>
      <w:r>
        <w:rPr>
          <w:rFonts w:hint="eastAsia" w:ascii="宋体" w:hAnsi="宋体" w:eastAsia="宋体" w:cs="宋体"/>
          <w:bCs/>
          <w:color w:val="auto"/>
          <w:sz w:val="24"/>
          <w:szCs w:val="24"/>
          <w:highlight w:val="none"/>
        </w:rPr>
        <w:t>违反，乙方必须承担甲方及相关单位因此而造成的全部损失（含直接及间接经济损失）；情节严重者，并提请有关部门追究其刑事责任。</w:t>
      </w:r>
    </w:p>
    <w:tbl>
      <w:tblPr>
        <w:tblStyle w:val="13"/>
        <w:tblpPr w:leftFromText="180" w:rightFromText="180" w:vertAnchor="text" w:horzAnchor="page" w:tblpXSpec="center" w:tblpY="456"/>
        <w:tblOverlap w:val="never"/>
        <w:tblW w:w="83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83"/>
        <w:gridCol w:w="4516"/>
      </w:tblGrid>
      <w:tr w14:paraId="3A39E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3883" w:type="dxa"/>
            <w:shd w:val="clear" w:color="auto" w:fill="D7D7D7"/>
            <w:noWrap w:val="0"/>
            <w:vAlign w:val="top"/>
          </w:tcPr>
          <w:p w14:paraId="6AE2C8F8">
            <w:pPr>
              <w:pStyle w:val="12"/>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12"/>
                <w:sz w:val="24"/>
                <w:szCs w:val="24"/>
                <w:lang w:val="en-US" w:eastAsia="zh-CN"/>
              </w:rPr>
              <w:t>甲方</w:t>
            </w:r>
          </w:p>
        </w:tc>
        <w:tc>
          <w:tcPr>
            <w:tcW w:w="4516" w:type="dxa"/>
            <w:shd w:val="clear" w:color="auto" w:fill="D7D7D7"/>
            <w:noWrap w:val="0"/>
            <w:vAlign w:val="top"/>
          </w:tcPr>
          <w:p w14:paraId="6DA472C8">
            <w:pPr>
              <w:pStyle w:val="12"/>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8"/>
                <w:sz w:val="24"/>
                <w:szCs w:val="24"/>
                <w:lang w:val="en-US" w:eastAsia="zh-CN"/>
              </w:rPr>
              <w:t>乙方</w:t>
            </w:r>
          </w:p>
        </w:tc>
      </w:tr>
      <w:tr w14:paraId="0AC15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3883" w:type="dxa"/>
            <w:noWrap w:val="0"/>
            <w:vAlign w:val="center"/>
          </w:tcPr>
          <w:p w14:paraId="2A83A522">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2"/>
                <w:sz w:val="24"/>
                <w:szCs w:val="24"/>
              </w:rPr>
              <w:t>采购人</w:t>
            </w:r>
            <w:r>
              <w:rPr>
                <w:rFonts w:hint="eastAsia"/>
                <w:color w:val="auto"/>
                <w:spacing w:val="-2"/>
                <w:sz w:val="24"/>
                <w:szCs w:val="24"/>
                <w:lang w:val="en-US" w:eastAsia="zh-CN"/>
              </w:rPr>
              <w:t>名称</w:t>
            </w:r>
            <w:r>
              <w:rPr>
                <w:color w:val="auto"/>
                <w:spacing w:val="-2"/>
                <w:sz w:val="24"/>
                <w:szCs w:val="24"/>
              </w:rPr>
              <w:t>（</w:t>
            </w:r>
            <w:r>
              <w:rPr>
                <w:rFonts w:hint="eastAsia"/>
                <w:color w:val="auto"/>
                <w:spacing w:val="-2"/>
                <w:sz w:val="24"/>
                <w:szCs w:val="24"/>
                <w:lang w:val="en-US" w:eastAsia="zh-CN"/>
              </w:rPr>
              <w:t>盖章</w:t>
            </w:r>
            <w:r>
              <w:rPr>
                <w:color w:val="auto"/>
                <w:spacing w:val="-2"/>
                <w:sz w:val="24"/>
                <w:szCs w:val="24"/>
              </w:rPr>
              <w:t>）</w:t>
            </w:r>
          </w:p>
        </w:tc>
        <w:tc>
          <w:tcPr>
            <w:tcW w:w="4516" w:type="dxa"/>
            <w:noWrap w:val="0"/>
            <w:vAlign w:val="center"/>
          </w:tcPr>
          <w:p w14:paraId="402568D2">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b w:val="0"/>
                <w:bCs w:val="0"/>
                <w:color w:val="auto"/>
                <w:sz w:val="24"/>
                <w:szCs w:val="24"/>
              </w:rPr>
            </w:pPr>
            <w:r>
              <w:rPr>
                <w:rFonts w:hint="eastAsia" w:ascii="宋体" w:hAnsi="宋体" w:eastAsia="宋体" w:cs="宋体"/>
                <w:b w:val="0"/>
                <w:bCs w:val="0"/>
                <w:color w:val="auto"/>
                <w:sz w:val="24"/>
                <w:szCs w:val="24"/>
                <w:highlight w:val="none"/>
                <w:lang w:val="en-US" w:eastAsia="zh-CN"/>
              </w:rPr>
              <w:t>成交供应商</w:t>
            </w:r>
            <w:r>
              <w:rPr>
                <w:b w:val="0"/>
                <w:bCs w:val="0"/>
                <w:color w:val="auto"/>
                <w:spacing w:val="-2"/>
                <w:sz w:val="24"/>
                <w:szCs w:val="24"/>
              </w:rPr>
              <w:t>（</w:t>
            </w:r>
            <w:r>
              <w:rPr>
                <w:rFonts w:hint="eastAsia"/>
                <w:b w:val="0"/>
                <w:bCs w:val="0"/>
                <w:color w:val="auto"/>
                <w:spacing w:val="-2"/>
                <w:sz w:val="24"/>
                <w:szCs w:val="24"/>
                <w:lang w:val="en-US" w:eastAsia="zh-CN"/>
              </w:rPr>
              <w:t>盖章</w:t>
            </w:r>
            <w:r>
              <w:rPr>
                <w:b w:val="0"/>
                <w:bCs w:val="0"/>
                <w:color w:val="auto"/>
                <w:spacing w:val="-2"/>
                <w:sz w:val="24"/>
                <w:szCs w:val="24"/>
              </w:rPr>
              <w:t>）</w:t>
            </w:r>
          </w:p>
        </w:tc>
      </w:tr>
      <w:tr w14:paraId="41FF14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3883" w:type="dxa"/>
            <w:noWrap w:val="0"/>
            <w:vAlign w:val="center"/>
          </w:tcPr>
          <w:p w14:paraId="04ED623E">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4"/>
                <w:sz w:val="24"/>
                <w:szCs w:val="24"/>
              </w:rPr>
              <w:t>地址：</w:t>
            </w:r>
          </w:p>
        </w:tc>
        <w:tc>
          <w:tcPr>
            <w:tcW w:w="4516" w:type="dxa"/>
            <w:noWrap w:val="0"/>
            <w:vAlign w:val="center"/>
          </w:tcPr>
          <w:p w14:paraId="6A0361C8">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b w:val="0"/>
                <w:bCs w:val="0"/>
                <w:color w:val="auto"/>
                <w:sz w:val="24"/>
                <w:szCs w:val="24"/>
              </w:rPr>
            </w:pPr>
            <w:r>
              <w:rPr>
                <w:b w:val="0"/>
                <w:bCs w:val="0"/>
                <w:color w:val="auto"/>
                <w:spacing w:val="-4"/>
                <w:sz w:val="24"/>
                <w:szCs w:val="24"/>
              </w:rPr>
              <w:t>地址：</w:t>
            </w:r>
          </w:p>
        </w:tc>
      </w:tr>
      <w:tr w14:paraId="35400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3883" w:type="dxa"/>
            <w:noWrap w:val="0"/>
            <w:vAlign w:val="center"/>
          </w:tcPr>
          <w:p w14:paraId="23498415">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10"/>
                <w:sz w:val="24"/>
                <w:szCs w:val="24"/>
              </w:rPr>
              <w:t>邮编：</w:t>
            </w:r>
          </w:p>
        </w:tc>
        <w:tc>
          <w:tcPr>
            <w:tcW w:w="4516" w:type="dxa"/>
            <w:noWrap w:val="0"/>
            <w:vAlign w:val="center"/>
          </w:tcPr>
          <w:p w14:paraId="47A6343E">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10"/>
                <w:sz w:val="24"/>
                <w:szCs w:val="24"/>
              </w:rPr>
              <w:t>邮编：</w:t>
            </w:r>
          </w:p>
        </w:tc>
      </w:tr>
      <w:tr w14:paraId="727720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3883" w:type="dxa"/>
            <w:noWrap w:val="0"/>
            <w:vAlign w:val="center"/>
          </w:tcPr>
          <w:p w14:paraId="13287229">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c>
          <w:tcPr>
            <w:tcW w:w="4516" w:type="dxa"/>
            <w:noWrap w:val="0"/>
            <w:vAlign w:val="center"/>
          </w:tcPr>
          <w:p w14:paraId="2199D75B">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r>
      <w:tr w14:paraId="338206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0" w:hRule="atLeast"/>
          <w:jc w:val="center"/>
        </w:trPr>
        <w:tc>
          <w:tcPr>
            <w:tcW w:w="3883" w:type="dxa"/>
            <w:noWrap w:val="0"/>
            <w:vAlign w:val="center"/>
          </w:tcPr>
          <w:p w14:paraId="424CC9E2">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c>
          <w:tcPr>
            <w:tcW w:w="4516" w:type="dxa"/>
            <w:noWrap w:val="0"/>
            <w:vAlign w:val="center"/>
          </w:tcPr>
          <w:p w14:paraId="385B80AA">
            <w:pPr>
              <w:pStyle w:val="12"/>
              <w:keepNext w:val="0"/>
              <w:keepLines w:val="0"/>
              <w:pageBreakBefore w:val="0"/>
              <w:widowControl w:val="0"/>
              <w:kinsoku/>
              <w:wordWrap/>
              <w:overflowPunct/>
              <w:topLinePunct w:val="0"/>
              <w:autoSpaceDE/>
              <w:autoSpaceDN/>
              <w:bidi w:val="0"/>
              <w:adjustRightInd/>
              <w:snapToGrid/>
              <w:spacing w:line="440" w:lineRule="exact"/>
              <w:ind w:left="160"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r>
      <w:tr w14:paraId="758A3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jc w:val="center"/>
        </w:trPr>
        <w:tc>
          <w:tcPr>
            <w:tcW w:w="3883" w:type="dxa"/>
            <w:noWrap w:val="0"/>
            <w:vAlign w:val="top"/>
          </w:tcPr>
          <w:p w14:paraId="093C5FC4">
            <w:pPr>
              <w:pStyle w:val="12"/>
              <w:keepNext w:val="0"/>
              <w:keepLines w:val="0"/>
              <w:pageBreakBefore w:val="0"/>
              <w:widowControl w:val="0"/>
              <w:kinsoku/>
              <w:wordWrap/>
              <w:overflowPunct/>
              <w:topLinePunct w:val="0"/>
              <w:autoSpaceDE/>
              <w:autoSpaceDN/>
              <w:bidi w:val="0"/>
              <w:adjustRightInd/>
              <w:snapToGrid/>
              <w:spacing w:line="440" w:lineRule="exact"/>
              <w:ind w:left="160"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5"/>
                <w:sz w:val="24"/>
                <w:szCs w:val="24"/>
              </w:rPr>
              <w:t xml:space="preserve">  </w:t>
            </w:r>
            <w:r>
              <w:rPr>
                <w:color w:val="auto"/>
                <w:spacing w:val="-13"/>
                <w:sz w:val="24"/>
                <w:szCs w:val="24"/>
              </w:rPr>
              <w:t>日</w:t>
            </w:r>
          </w:p>
        </w:tc>
        <w:tc>
          <w:tcPr>
            <w:tcW w:w="4516" w:type="dxa"/>
            <w:noWrap w:val="0"/>
            <w:vAlign w:val="top"/>
          </w:tcPr>
          <w:p w14:paraId="1B984D76">
            <w:pPr>
              <w:pStyle w:val="12"/>
              <w:keepNext w:val="0"/>
              <w:keepLines w:val="0"/>
              <w:pageBreakBefore w:val="0"/>
              <w:widowControl w:val="0"/>
              <w:kinsoku/>
              <w:wordWrap/>
              <w:overflowPunct/>
              <w:topLinePunct w:val="0"/>
              <w:autoSpaceDE/>
              <w:autoSpaceDN/>
              <w:bidi w:val="0"/>
              <w:adjustRightInd/>
              <w:snapToGrid/>
              <w:spacing w:line="440" w:lineRule="exact"/>
              <w:ind w:left="160"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6"/>
                <w:sz w:val="24"/>
                <w:szCs w:val="24"/>
              </w:rPr>
              <w:t xml:space="preserve">  </w:t>
            </w:r>
            <w:r>
              <w:rPr>
                <w:color w:val="auto"/>
                <w:spacing w:val="-13"/>
                <w:sz w:val="24"/>
                <w:szCs w:val="24"/>
              </w:rPr>
              <w:t>日</w:t>
            </w:r>
          </w:p>
        </w:tc>
      </w:tr>
    </w:tbl>
    <w:p w14:paraId="5CAF2AAC">
      <w:pPr>
        <w:spacing w:line="240" w:lineRule="auto"/>
        <w:rPr>
          <w:rFonts w:hint="eastAsia" w:ascii="宋体" w:hAnsi="宋体" w:eastAsia="宋体" w:cs="宋体"/>
          <w:bCs/>
          <w:color w:val="auto"/>
          <w:sz w:val="16"/>
          <w:szCs w:val="16"/>
          <w:highlight w:val="none"/>
        </w:rPr>
      </w:pPr>
    </w:p>
    <w:p w14:paraId="43BA5BA6">
      <w:pPr>
        <w:pStyle w:val="2"/>
        <w:tabs>
          <w:tab w:val="left" w:pos="567"/>
        </w:tabs>
        <w:rPr>
          <w:rFonts w:hint="eastAsia" w:ascii="宋体" w:hAnsi="宋体" w:eastAsia="宋体" w:cs="宋体"/>
          <w:bCs/>
          <w:color w:val="auto"/>
          <w:sz w:val="24"/>
          <w:szCs w:val="24"/>
          <w:highlight w:val="none"/>
        </w:rPr>
      </w:pPr>
    </w:p>
    <w:p w14:paraId="44C2113E">
      <w:pPr>
        <w:rPr>
          <w:rFonts w:hint="eastAsia" w:ascii="宋体" w:hAnsi="宋体" w:eastAsia="宋体" w:cs="宋体"/>
          <w:bCs/>
          <w:color w:val="auto"/>
          <w:sz w:val="24"/>
          <w:szCs w:val="24"/>
          <w:highlight w:val="none"/>
        </w:rPr>
      </w:pPr>
    </w:p>
    <w:p w14:paraId="473B0656">
      <w:pPr>
        <w:pStyle w:val="7"/>
        <w:rPr>
          <w:rFonts w:hint="eastAsia" w:ascii="宋体" w:hAnsi="宋体" w:eastAsia="宋体" w:cs="宋体"/>
          <w:bCs/>
          <w:color w:val="auto"/>
          <w:sz w:val="24"/>
          <w:szCs w:val="24"/>
          <w:highlight w:val="none"/>
        </w:rPr>
      </w:pPr>
    </w:p>
    <w:p w14:paraId="5F4C8D15">
      <w:pPr>
        <w:pStyle w:val="7"/>
        <w:rPr>
          <w:rFonts w:hint="eastAsia" w:ascii="宋体" w:hAnsi="宋体" w:eastAsia="宋体" w:cs="宋体"/>
          <w:bCs/>
          <w:color w:val="auto"/>
          <w:sz w:val="24"/>
          <w:szCs w:val="24"/>
          <w:highlight w:val="none"/>
        </w:rPr>
      </w:pPr>
    </w:p>
    <w:p w14:paraId="4235142E">
      <w:pPr>
        <w:pStyle w:val="2"/>
        <w:tabs>
          <w:tab w:val="left" w:pos="567"/>
        </w:tabs>
        <w:rPr>
          <w:rFonts w:hint="eastAsia" w:ascii="宋体" w:hAnsi="宋体" w:eastAsia="宋体" w:cs="宋体"/>
          <w:bCs/>
          <w:color w:val="auto"/>
          <w:sz w:val="24"/>
          <w:szCs w:val="24"/>
          <w:highlight w:val="none"/>
        </w:rPr>
      </w:pPr>
    </w:p>
    <w:p w14:paraId="0E2554C4">
      <w:pPr>
        <w:pStyle w:val="4"/>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附件二（服务考核方法）</w:t>
      </w:r>
    </w:p>
    <w:p w14:paraId="0847F64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服务考核方法</w:t>
      </w:r>
    </w:p>
    <w:p w14:paraId="6C26113B">
      <w:pPr>
        <w:spacing w:line="360" w:lineRule="auto"/>
        <w:rPr>
          <w:rFonts w:hint="eastAsia" w:ascii="宋体" w:hAnsi="宋体" w:eastAsia="宋体" w:cs="宋体"/>
          <w:sz w:val="24"/>
          <w:szCs w:val="24"/>
          <w:lang w:val="zh-CN"/>
        </w:rPr>
      </w:pPr>
      <w:r>
        <w:rPr>
          <w:rFonts w:hint="eastAsia" w:ascii="宋体" w:hAnsi="宋体" w:eastAsia="宋体" w:cs="宋体"/>
          <w:sz w:val="24"/>
          <w:szCs w:val="24"/>
        </w:rPr>
        <w:t>1.</w:t>
      </w:r>
      <w:r>
        <w:rPr>
          <w:rFonts w:hint="eastAsia" w:ascii="宋体" w:hAnsi="宋体" w:eastAsia="宋体" w:cs="宋体"/>
          <w:sz w:val="24"/>
          <w:szCs w:val="24"/>
          <w:lang w:val="zh-CN"/>
        </w:rPr>
        <w:t>本项目服务验收前需由</w:t>
      </w:r>
      <w:r>
        <w:rPr>
          <w:rFonts w:hint="eastAsia" w:ascii="宋体" w:hAnsi="宋体" w:eastAsia="宋体" w:cs="宋体"/>
          <w:sz w:val="24"/>
          <w:szCs w:val="24"/>
        </w:rPr>
        <w:t>甲方</w:t>
      </w:r>
      <w:r>
        <w:rPr>
          <w:rFonts w:hint="eastAsia" w:ascii="宋体" w:hAnsi="宋体" w:eastAsia="宋体" w:cs="宋体"/>
          <w:sz w:val="24"/>
          <w:szCs w:val="24"/>
          <w:lang w:val="zh-CN"/>
        </w:rPr>
        <w:t>组织进行服务考核，基于考核结果对应的量化考核系数支付项目合同款。最终考核结果评价得分高于80分（含80分）的，量化考核系数为1；得分在70（含70分）～80分的，量化考核系数为0.9；得分在60（含60分）～70分的，量化考核系数为0.8，得分在60分以下</w:t>
      </w:r>
      <w:r>
        <w:rPr>
          <w:rFonts w:hint="eastAsia" w:ascii="宋体" w:hAnsi="宋体" w:eastAsia="宋体" w:cs="宋体"/>
          <w:sz w:val="24"/>
          <w:szCs w:val="24"/>
        </w:rPr>
        <w:t>且整改合格</w:t>
      </w:r>
      <w:r>
        <w:rPr>
          <w:rFonts w:hint="eastAsia" w:ascii="宋体" w:hAnsi="宋体" w:eastAsia="宋体" w:cs="宋体"/>
          <w:sz w:val="24"/>
          <w:szCs w:val="24"/>
          <w:lang w:val="zh-CN"/>
        </w:rPr>
        <w:t>的，量化考核系数为0.</w:t>
      </w:r>
      <w:r>
        <w:rPr>
          <w:rFonts w:hint="eastAsia" w:ascii="宋体" w:hAnsi="宋体" w:eastAsia="宋体" w:cs="宋体"/>
          <w:sz w:val="24"/>
          <w:szCs w:val="24"/>
        </w:rPr>
        <w:t>7</w:t>
      </w:r>
      <w:r>
        <w:rPr>
          <w:rFonts w:hint="eastAsia" w:ascii="宋体" w:hAnsi="宋体" w:eastAsia="宋体" w:cs="宋体"/>
          <w:sz w:val="24"/>
          <w:szCs w:val="24"/>
          <w:lang w:val="zh-CN"/>
        </w:rPr>
        <w:t>。</w:t>
      </w:r>
    </w:p>
    <w:p w14:paraId="668EAE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2.服务考核结果应用见下表</w:t>
      </w:r>
    </w:p>
    <w:tbl>
      <w:tblPr>
        <w:tblStyle w:val="9"/>
        <w:tblW w:w="5052" w:type="pct"/>
        <w:jc w:val="center"/>
        <w:tblLayout w:type="fixed"/>
        <w:tblCellMar>
          <w:top w:w="0" w:type="dxa"/>
          <w:left w:w="108" w:type="dxa"/>
          <w:bottom w:w="0" w:type="dxa"/>
          <w:right w:w="108" w:type="dxa"/>
        </w:tblCellMar>
      </w:tblPr>
      <w:tblGrid>
        <w:gridCol w:w="955"/>
        <w:gridCol w:w="2475"/>
        <w:gridCol w:w="1845"/>
        <w:gridCol w:w="3561"/>
      </w:tblGrid>
      <w:tr w14:paraId="2567720D">
        <w:tblPrEx>
          <w:tblCellMar>
            <w:top w:w="0" w:type="dxa"/>
            <w:left w:w="108" w:type="dxa"/>
            <w:bottom w:w="0" w:type="dxa"/>
            <w:right w:w="108" w:type="dxa"/>
          </w:tblCellMar>
        </w:tblPrEx>
        <w:trPr>
          <w:trHeight w:val="611" w:hRule="atLeast"/>
          <w:tblHeader/>
          <w:jc w:val="center"/>
        </w:trPr>
        <w:tc>
          <w:tcPr>
            <w:tcW w:w="540" w:type="pct"/>
            <w:tcBorders>
              <w:top w:val="single" w:color="000000" w:sz="4" w:space="0"/>
              <w:left w:val="single" w:color="000000" w:sz="4" w:space="0"/>
              <w:bottom w:val="single" w:color="000000" w:sz="4" w:space="0"/>
              <w:right w:val="single" w:color="000000" w:sz="4" w:space="0"/>
            </w:tcBorders>
            <w:noWrap/>
            <w:vAlign w:val="center"/>
          </w:tcPr>
          <w:p w14:paraId="6F17CCC8">
            <w:pPr>
              <w:autoSpaceDE w:val="0"/>
              <w:autoSpaceDN w:val="0"/>
              <w:spacing w:line="520" w:lineRule="exact"/>
              <w:contextualSpacing/>
              <w:rPr>
                <w:rFonts w:hint="eastAsia" w:ascii="宋体" w:hAnsi="宋体" w:eastAsia="宋体" w:cs="宋体"/>
                <w:b/>
                <w:bCs/>
                <w:sz w:val="22"/>
                <w:szCs w:val="22"/>
                <w:lang w:val="zh-CN"/>
              </w:rPr>
            </w:pPr>
            <w:r>
              <w:rPr>
                <w:rFonts w:hint="eastAsia" w:ascii="宋体" w:hAnsi="宋体" w:eastAsia="宋体" w:cs="宋体"/>
                <w:b/>
                <w:bCs/>
                <w:sz w:val="22"/>
                <w:szCs w:val="22"/>
                <w:lang w:val="zh-CN"/>
              </w:rPr>
              <w:t>序号</w:t>
            </w:r>
          </w:p>
        </w:tc>
        <w:tc>
          <w:tcPr>
            <w:tcW w:w="1400" w:type="pct"/>
            <w:tcBorders>
              <w:top w:val="single" w:color="000000" w:sz="4" w:space="0"/>
              <w:left w:val="single" w:color="000000" w:sz="4" w:space="0"/>
              <w:bottom w:val="single" w:color="000000" w:sz="4" w:space="0"/>
              <w:right w:val="single" w:color="000000" w:sz="4" w:space="0"/>
            </w:tcBorders>
            <w:noWrap/>
            <w:vAlign w:val="center"/>
          </w:tcPr>
          <w:p w14:paraId="4DCA6C20">
            <w:pPr>
              <w:autoSpaceDE w:val="0"/>
              <w:autoSpaceDN w:val="0"/>
              <w:spacing w:line="520" w:lineRule="exact"/>
              <w:ind w:firstLine="442" w:firstLineChars="200"/>
              <w:contextualSpacing/>
              <w:rPr>
                <w:rFonts w:hint="eastAsia" w:ascii="宋体" w:hAnsi="宋体" w:eastAsia="宋体" w:cs="宋体"/>
                <w:b/>
                <w:bCs/>
                <w:sz w:val="22"/>
                <w:szCs w:val="22"/>
                <w:lang w:val="zh-CN"/>
              </w:rPr>
            </w:pPr>
            <w:r>
              <w:rPr>
                <w:rFonts w:hint="eastAsia" w:ascii="宋体" w:hAnsi="宋体" w:eastAsia="宋体" w:cs="宋体"/>
                <w:b/>
                <w:bCs/>
                <w:sz w:val="22"/>
                <w:szCs w:val="22"/>
                <w:lang w:val="zh-CN"/>
              </w:rPr>
              <w:t>考评得分</w:t>
            </w: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605ABA61">
            <w:pPr>
              <w:autoSpaceDE w:val="0"/>
              <w:autoSpaceDN w:val="0"/>
              <w:spacing w:line="520" w:lineRule="exact"/>
              <w:contextualSpacing/>
              <w:rPr>
                <w:rFonts w:hint="eastAsia" w:ascii="宋体" w:hAnsi="宋体" w:eastAsia="宋体" w:cs="宋体"/>
                <w:b/>
                <w:bCs/>
                <w:sz w:val="22"/>
                <w:szCs w:val="22"/>
                <w:lang w:val="zh-CN"/>
              </w:rPr>
            </w:pPr>
            <w:r>
              <w:rPr>
                <w:rFonts w:hint="eastAsia" w:ascii="宋体" w:hAnsi="宋体" w:eastAsia="宋体" w:cs="宋体"/>
                <w:b/>
                <w:bCs/>
                <w:sz w:val="22"/>
                <w:szCs w:val="22"/>
                <w:lang w:val="zh-CN"/>
              </w:rPr>
              <w:t>量化考核系数</w:t>
            </w:r>
          </w:p>
        </w:tc>
        <w:tc>
          <w:tcPr>
            <w:tcW w:w="2014" w:type="pct"/>
            <w:tcBorders>
              <w:top w:val="single" w:color="000000" w:sz="4" w:space="0"/>
              <w:left w:val="single" w:color="000000" w:sz="4" w:space="0"/>
              <w:bottom w:val="single" w:color="000000" w:sz="4" w:space="0"/>
              <w:right w:val="single" w:color="000000" w:sz="4" w:space="0"/>
            </w:tcBorders>
            <w:noWrap/>
            <w:vAlign w:val="center"/>
          </w:tcPr>
          <w:p w14:paraId="21F4C25B">
            <w:pPr>
              <w:autoSpaceDE w:val="0"/>
              <w:autoSpaceDN w:val="0"/>
              <w:spacing w:line="520" w:lineRule="exact"/>
              <w:ind w:firstLine="442" w:firstLineChars="200"/>
              <w:contextualSpacing/>
              <w:rPr>
                <w:rFonts w:hint="eastAsia" w:ascii="宋体" w:hAnsi="宋体" w:eastAsia="宋体" w:cs="宋体"/>
                <w:b/>
                <w:bCs/>
                <w:sz w:val="22"/>
                <w:szCs w:val="22"/>
                <w:lang w:val="zh-CN"/>
              </w:rPr>
            </w:pPr>
            <w:r>
              <w:rPr>
                <w:rFonts w:hint="eastAsia" w:ascii="宋体" w:hAnsi="宋体" w:eastAsia="宋体" w:cs="宋体"/>
                <w:b/>
                <w:bCs/>
                <w:sz w:val="22"/>
                <w:szCs w:val="22"/>
                <w:lang w:val="zh-CN"/>
              </w:rPr>
              <w:t>备注</w:t>
            </w:r>
          </w:p>
        </w:tc>
      </w:tr>
      <w:tr w14:paraId="24A0486E">
        <w:tblPrEx>
          <w:tblCellMar>
            <w:top w:w="0" w:type="dxa"/>
            <w:left w:w="108" w:type="dxa"/>
            <w:bottom w:w="0" w:type="dxa"/>
            <w:right w:w="108" w:type="dxa"/>
          </w:tblCellMar>
        </w:tblPrEx>
        <w:trPr>
          <w:trHeight w:val="611" w:hRule="atLeast"/>
          <w:jc w:val="center"/>
        </w:trPr>
        <w:tc>
          <w:tcPr>
            <w:tcW w:w="540" w:type="pct"/>
            <w:tcBorders>
              <w:top w:val="single" w:color="000000" w:sz="4" w:space="0"/>
              <w:left w:val="single" w:color="000000" w:sz="4" w:space="0"/>
              <w:bottom w:val="single" w:color="000000" w:sz="4" w:space="0"/>
              <w:right w:val="single" w:color="000000" w:sz="4" w:space="0"/>
            </w:tcBorders>
            <w:noWrap/>
            <w:vAlign w:val="center"/>
          </w:tcPr>
          <w:p w14:paraId="3E51E4EC">
            <w:pPr>
              <w:autoSpaceDE w:val="0"/>
              <w:autoSpaceDN w:val="0"/>
              <w:spacing w:line="520" w:lineRule="exact"/>
              <w:contextualSpacing/>
              <w:jc w:val="center"/>
              <w:rPr>
                <w:rFonts w:hint="eastAsia" w:ascii="宋体" w:hAnsi="宋体" w:eastAsia="宋体" w:cs="宋体"/>
                <w:sz w:val="22"/>
                <w:szCs w:val="22"/>
                <w:lang w:val="zh-CN"/>
              </w:rPr>
            </w:pPr>
            <w:r>
              <w:rPr>
                <w:rFonts w:hint="eastAsia" w:ascii="宋体" w:hAnsi="宋体" w:eastAsia="宋体" w:cs="宋体"/>
                <w:sz w:val="22"/>
                <w:szCs w:val="22"/>
                <w:lang w:val="zh-CN"/>
              </w:rPr>
              <w:t>1</w:t>
            </w:r>
          </w:p>
        </w:tc>
        <w:tc>
          <w:tcPr>
            <w:tcW w:w="1400" w:type="pct"/>
            <w:tcBorders>
              <w:top w:val="single" w:color="000000" w:sz="4" w:space="0"/>
              <w:left w:val="single" w:color="000000" w:sz="4" w:space="0"/>
              <w:bottom w:val="single" w:color="000000" w:sz="4" w:space="0"/>
              <w:right w:val="single" w:color="000000" w:sz="4" w:space="0"/>
            </w:tcBorders>
            <w:noWrap/>
            <w:vAlign w:val="center"/>
          </w:tcPr>
          <w:p w14:paraId="7701B1B7">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得分≥80</w:t>
            </w: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646C0A2C">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1</w:t>
            </w:r>
          </w:p>
        </w:tc>
        <w:tc>
          <w:tcPr>
            <w:tcW w:w="2014" w:type="pct"/>
            <w:tcBorders>
              <w:top w:val="single" w:color="000000" w:sz="4" w:space="0"/>
              <w:left w:val="single" w:color="000000" w:sz="4" w:space="0"/>
              <w:bottom w:val="single" w:color="000000" w:sz="4" w:space="0"/>
              <w:right w:val="single" w:color="000000" w:sz="4" w:space="0"/>
            </w:tcBorders>
            <w:noWrap/>
            <w:vAlign w:val="center"/>
          </w:tcPr>
          <w:p w14:paraId="531C637B">
            <w:pPr>
              <w:autoSpaceDE w:val="0"/>
              <w:autoSpaceDN w:val="0"/>
              <w:spacing w:line="520" w:lineRule="exact"/>
              <w:contextualSpacing/>
              <w:rPr>
                <w:rFonts w:hint="eastAsia" w:ascii="宋体" w:hAnsi="宋体" w:eastAsia="宋体" w:cs="宋体"/>
                <w:sz w:val="22"/>
                <w:szCs w:val="22"/>
                <w:lang w:val="zh-CN"/>
              </w:rPr>
            </w:pPr>
            <w:r>
              <w:rPr>
                <w:rFonts w:hint="eastAsia" w:ascii="宋体" w:hAnsi="宋体" w:eastAsia="宋体" w:cs="宋体"/>
                <w:sz w:val="22"/>
                <w:szCs w:val="22"/>
                <w:lang w:val="zh-CN"/>
              </w:rPr>
              <w:t>支付100%服务</w:t>
            </w:r>
            <w:r>
              <w:rPr>
                <w:rFonts w:hint="eastAsia" w:ascii="宋体" w:hAnsi="宋体" w:eastAsia="宋体" w:cs="宋体"/>
                <w:sz w:val="22"/>
                <w:szCs w:val="22"/>
              </w:rPr>
              <w:t>价款</w:t>
            </w:r>
          </w:p>
        </w:tc>
      </w:tr>
      <w:tr w14:paraId="30E1BFEA">
        <w:tblPrEx>
          <w:tblCellMar>
            <w:top w:w="0" w:type="dxa"/>
            <w:left w:w="108" w:type="dxa"/>
            <w:bottom w:w="0" w:type="dxa"/>
            <w:right w:w="108" w:type="dxa"/>
          </w:tblCellMar>
        </w:tblPrEx>
        <w:trPr>
          <w:trHeight w:val="611" w:hRule="atLeast"/>
          <w:jc w:val="center"/>
        </w:trPr>
        <w:tc>
          <w:tcPr>
            <w:tcW w:w="540" w:type="pct"/>
            <w:tcBorders>
              <w:top w:val="single" w:color="000000" w:sz="4" w:space="0"/>
              <w:left w:val="single" w:color="000000" w:sz="4" w:space="0"/>
              <w:bottom w:val="single" w:color="000000" w:sz="4" w:space="0"/>
              <w:right w:val="single" w:color="000000" w:sz="4" w:space="0"/>
            </w:tcBorders>
            <w:noWrap/>
            <w:vAlign w:val="center"/>
          </w:tcPr>
          <w:p w14:paraId="08E89325">
            <w:pPr>
              <w:autoSpaceDE w:val="0"/>
              <w:autoSpaceDN w:val="0"/>
              <w:spacing w:line="520" w:lineRule="exact"/>
              <w:contextualSpacing/>
              <w:jc w:val="center"/>
              <w:rPr>
                <w:rFonts w:hint="eastAsia" w:ascii="宋体" w:hAnsi="宋体" w:eastAsia="宋体" w:cs="宋体"/>
                <w:sz w:val="22"/>
                <w:szCs w:val="22"/>
                <w:lang w:val="zh-CN"/>
              </w:rPr>
            </w:pPr>
            <w:r>
              <w:rPr>
                <w:rFonts w:hint="eastAsia" w:ascii="宋体" w:hAnsi="宋体" w:eastAsia="宋体" w:cs="宋体"/>
                <w:sz w:val="22"/>
                <w:szCs w:val="22"/>
                <w:lang w:val="zh-CN"/>
              </w:rPr>
              <w:t>2</w:t>
            </w:r>
          </w:p>
        </w:tc>
        <w:tc>
          <w:tcPr>
            <w:tcW w:w="1400" w:type="pct"/>
            <w:tcBorders>
              <w:top w:val="single" w:color="000000" w:sz="4" w:space="0"/>
              <w:left w:val="single" w:color="000000" w:sz="4" w:space="0"/>
              <w:bottom w:val="single" w:color="000000" w:sz="4" w:space="0"/>
              <w:right w:val="single" w:color="000000" w:sz="4" w:space="0"/>
            </w:tcBorders>
            <w:noWrap/>
            <w:vAlign w:val="center"/>
          </w:tcPr>
          <w:p w14:paraId="7FD730F0">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70≤得分＜80</w:t>
            </w: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14FCC3AE">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0.9</w:t>
            </w:r>
          </w:p>
        </w:tc>
        <w:tc>
          <w:tcPr>
            <w:tcW w:w="2014" w:type="pct"/>
            <w:tcBorders>
              <w:top w:val="single" w:color="000000" w:sz="4" w:space="0"/>
              <w:left w:val="single" w:color="000000" w:sz="4" w:space="0"/>
              <w:bottom w:val="single" w:color="000000" w:sz="4" w:space="0"/>
              <w:right w:val="single" w:color="000000" w:sz="4" w:space="0"/>
            </w:tcBorders>
            <w:noWrap/>
            <w:vAlign w:val="center"/>
          </w:tcPr>
          <w:p w14:paraId="137F3545">
            <w:pPr>
              <w:autoSpaceDE w:val="0"/>
              <w:autoSpaceDN w:val="0"/>
              <w:spacing w:line="520" w:lineRule="exact"/>
              <w:contextualSpacing/>
              <w:rPr>
                <w:rFonts w:hint="eastAsia" w:ascii="宋体" w:hAnsi="宋体" w:eastAsia="宋体" w:cs="宋体"/>
                <w:sz w:val="22"/>
                <w:szCs w:val="22"/>
                <w:lang w:val="zh-CN"/>
              </w:rPr>
            </w:pPr>
            <w:r>
              <w:rPr>
                <w:rFonts w:hint="eastAsia" w:ascii="宋体" w:hAnsi="宋体" w:eastAsia="宋体" w:cs="宋体"/>
                <w:sz w:val="22"/>
                <w:szCs w:val="22"/>
                <w:lang w:val="zh-CN"/>
              </w:rPr>
              <w:t>整改合格后，支付90%服务</w:t>
            </w:r>
            <w:r>
              <w:rPr>
                <w:rFonts w:hint="eastAsia" w:ascii="宋体" w:hAnsi="宋体" w:eastAsia="宋体" w:cs="宋体"/>
                <w:sz w:val="22"/>
                <w:szCs w:val="22"/>
              </w:rPr>
              <w:t>价款</w:t>
            </w:r>
          </w:p>
        </w:tc>
      </w:tr>
      <w:tr w14:paraId="1F1423F3">
        <w:tblPrEx>
          <w:tblCellMar>
            <w:top w:w="0" w:type="dxa"/>
            <w:left w:w="108" w:type="dxa"/>
            <w:bottom w:w="0" w:type="dxa"/>
            <w:right w:w="108" w:type="dxa"/>
          </w:tblCellMar>
        </w:tblPrEx>
        <w:trPr>
          <w:trHeight w:val="611" w:hRule="atLeast"/>
          <w:jc w:val="center"/>
        </w:trPr>
        <w:tc>
          <w:tcPr>
            <w:tcW w:w="540" w:type="pct"/>
            <w:tcBorders>
              <w:top w:val="single" w:color="000000" w:sz="4" w:space="0"/>
              <w:left w:val="single" w:color="000000" w:sz="4" w:space="0"/>
              <w:bottom w:val="single" w:color="000000" w:sz="4" w:space="0"/>
              <w:right w:val="single" w:color="000000" w:sz="4" w:space="0"/>
            </w:tcBorders>
            <w:noWrap/>
            <w:vAlign w:val="center"/>
          </w:tcPr>
          <w:p w14:paraId="53B861F5">
            <w:pPr>
              <w:autoSpaceDE w:val="0"/>
              <w:autoSpaceDN w:val="0"/>
              <w:spacing w:line="520" w:lineRule="exact"/>
              <w:contextualSpacing/>
              <w:jc w:val="center"/>
              <w:rPr>
                <w:rFonts w:hint="eastAsia" w:ascii="宋体" w:hAnsi="宋体" w:eastAsia="宋体" w:cs="宋体"/>
                <w:sz w:val="22"/>
                <w:szCs w:val="22"/>
                <w:lang w:val="zh-CN"/>
              </w:rPr>
            </w:pPr>
            <w:r>
              <w:rPr>
                <w:rFonts w:hint="eastAsia" w:ascii="宋体" w:hAnsi="宋体" w:eastAsia="宋体" w:cs="宋体"/>
                <w:sz w:val="22"/>
                <w:szCs w:val="22"/>
                <w:lang w:val="zh-CN"/>
              </w:rPr>
              <w:t>3</w:t>
            </w:r>
          </w:p>
        </w:tc>
        <w:tc>
          <w:tcPr>
            <w:tcW w:w="1400" w:type="pct"/>
            <w:tcBorders>
              <w:top w:val="single" w:color="000000" w:sz="4" w:space="0"/>
              <w:left w:val="single" w:color="000000" w:sz="4" w:space="0"/>
              <w:bottom w:val="single" w:color="000000" w:sz="4" w:space="0"/>
              <w:right w:val="single" w:color="000000" w:sz="4" w:space="0"/>
            </w:tcBorders>
            <w:noWrap/>
            <w:vAlign w:val="center"/>
          </w:tcPr>
          <w:p w14:paraId="1D7C1A47">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60≤得分＜70</w:t>
            </w: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7656BF76">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0.8</w:t>
            </w:r>
          </w:p>
        </w:tc>
        <w:tc>
          <w:tcPr>
            <w:tcW w:w="2014" w:type="pct"/>
            <w:tcBorders>
              <w:top w:val="single" w:color="000000" w:sz="4" w:space="0"/>
              <w:left w:val="single" w:color="000000" w:sz="4" w:space="0"/>
              <w:bottom w:val="single" w:color="000000" w:sz="4" w:space="0"/>
              <w:right w:val="single" w:color="000000" w:sz="4" w:space="0"/>
            </w:tcBorders>
            <w:noWrap/>
            <w:vAlign w:val="center"/>
          </w:tcPr>
          <w:p w14:paraId="2622CD6B">
            <w:pPr>
              <w:autoSpaceDE w:val="0"/>
              <w:autoSpaceDN w:val="0"/>
              <w:spacing w:line="520" w:lineRule="exact"/>
              <w:contextualSpacing/>
              <w:rPr>
                <w:rFonts w:hint="eastAsia" w:ascii="宋体" w:hAnsi="宋体" w:eastAsia="宋体" w:cs="宋体"/>
                <w:sz w:val="22"/>
                <w:szCs w:val="22"/>
                <w:lang w:val="zh-CN"/>
              </w:rPr>
            </w:pPr>
            <w:r>
              <w:rPr>
                <w:rFonts w:hint="eastAsia" w:ascii="宋体" w:hAnsi="宋体" w:eastAsia="宋体" w:cs="宋体"/>
                <w:sz w:val="22"/>
                <w:szCs w:val="22"/>
                <w:lang w:val="zh-CN"/>
              </w:rPr>
              <w:t>整改合格后，支付80%服务</w:t>
            </w:r>
            <w:r>
              <w:rPr>
                <w:rFonts w:hint="eastAsia" w:ascii="宋体" w:hAnsi="宋体" w:eastAsia="宋体" w:cs="宋体"/>
                <w:sz w:val="22"/>
                <w:szCs w:val="22"/>
              </w:rPr>
              <w:t>价款</w:t>
            </w:r>
          </w:p>
        </w:tc>
      </w:tr>
      <w:tr w14:paraId="2F993193">
        <w:tblPrEx>
          <w:tblCellMar>
            <w:top w:w="0" w:type="dxa"/>
            <w:left w:w="108" w:type="dxa"/>
            <w:bottom w:w="0" w:type="dxa"/>
            <w:right w:w="108" w:type="dxa"/>
          </w:tblCellMar>
        </w:tblPrEx>
        <w:trPr>
          <w:trHeight w:val="648" w:hRule="atLeast"/>
          <w:jc w:val="center"/>
        </w:trPr>
        <w:tc>
          <w:tcPr>
            <w:tcW w:w="540" w:type="pct"/>
            <w:tcBorders>
              <w:top w:val="single" w:color="000000" w:sz="4" w:space="0"/>
              <w:left w:val="single" w:color="000000" w:sz="4" w:space="0"/>
              <w:bottom w:val="single" w:color="000000" w:sz="4" w:space="0"/>
              <w:right w:val="single" w:color="000000" w:sz="4" w:space="0"/>
            </w:tcBorders>
            <w:noWrap/>
            <w:vAlign w:val="center"/>
          </w:tcPr>
          <w:p w14:paraId="01BA266B">
            <w:pPr>
              <w:autoSpaceDE w:val="0"/>
              <w:autoSpaceDN w:val="0"/>
              <w:spacing w:line="520" w:lineRule="exact"/>
              <w:contextualSpacing/>
              <w:jc w:val="center"/>
              <w:rPr>
                <w:rFonts w:hint="eastAsia" w:ascii="宋体" w:hAnsi="宋体" w:eastAsia="宋体" w:cs="宋体"/>
                <w:sz w:val="22"/>
                <w:szCs w:val="22"/>
                <w:lang w:val="zh-CN"/>
              </w:rPr>
            </w:pPr>
            <w:r>
              <w:rPr>
                <w:rFonts w:hint="eastAsia" w:ascii="宋体" w:hAnsi="宋体" w:eastAsia="宋体" w:cs="宋体"/>
                <w:sz w:val="22"/>
                <w:szCs w:val="22"/>
                <w:lang w:val="zh-CN"/>
              </w:rPr>
              <w:t>4</w:t>
            </w:r>
          </w:p>
        </w:tc>
        <w:tc>
          <w:tcPr>
            <w:tcW w:w="1400" w:type="pct"/>
            <w:tcBorders>
              <w:top w:val="single" w:color="000000" w:sz="4" w:space="0"/>
              <w:left w:val="single" w:color="000000" w:sz="4" w:space="0"/>
              <w:bottom w:val="single" w:color="000000" w:sz="4" w:space="0"/>
              <w:right w:val="single" w:color="000000" w:sz="4" w:space="0"/>
            </w:tcBorders>
            <w:noWrap/>
            <w:vAlign w:val="center"/>
          </w:tcPr>
          <w:p w14:paraId="3A57B112">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得分＜60</w:t>
            </w:r>
          </w:p>
        </w:tc>
        <w:tc>
          <w:tcPr>
            <w:tcW w:w="1044" w:type="pct"/>
            <w:tcBorders>
              <w:top w:val="single" w:color="000000" w:sz="4" w:space="0"/>
              <w:left w:val="single" w:color="000000" w:sz="4" w:space="0"/>
              <w:bottom w:val="single" w:color="000000" w:sz="4" w:space="0"/>
              <w:right w:val="single" w:color="000000" w:sz="4" w:space="0"/>
            </w:tcBorders>
            <w:noWrap/>
            <w:vAlign w:val="center"/>
          </w:tcPr>
          <w:p w14:paraId="784EC78B">
            <w:pPr>
              <w:autoSpaceDE w:val="0"/>
              <w:autoSpaceDN w:val="0"/>
              <w:spacing w:line="520" w:lineRule="exact"/>
              <w:ind w:firstLine="440" w:firstLineChars="200"/>
              <w:contextualSpacing/>
              <w:rPr>
                <w:rFonts w:hint="eastAsia" w:ascii="宋体" w:hAnsi="宋体" w:eastAsia="宋体" w:cs="宋体"/>
                <w:sz w:val="22"/>
                <w:szCs w:val="22"/>
                <w:lang w:val="zh-CN"/>
              </w:rPr>
            </w:pPr>
            <w:r>
              <w:rPr>
                <w:rFonts w:hint="eastAsia" w:ascii="宋体" w:hAnsi="宋体" w:eastAsia="宋体" w:cs="宋体"/>
                <w:sz w:val="22"/>
                <w:szCs w:val="22"/>
                <w:lang w:val="zh-CN"/>
              </w:rPr>
              <w:t>0.7</w:t>
            </w:r>
          </w:p>
        </w:tc>
        <w:tc>
          <w:tcPr>
            <w:tcW w:w="2014" w:type="pct"/>
            <w:tcBorders>
              <w:top w:val="single" w:color="000000" w:sz="4" w:space="0"/>
              <w:left w:val="single" w:color="000000" w:sz="4" w:space="0"/>
              <w:bottom w:val="single" w:color="000000" w:sz="4" w:space="0"/>
              <w:right w:val="single" w:color="000000" w:sz="4" w:space="0"/>
            </w:tcBorders>
            <w:noWrap/>
            <w:vAlign w:val="center"/>
          </w:tcPr>
          <w:p w14:paraId="590AA9FA">
            <w:pPr>
              <w:autoSpaceDE w:val="0"/>
              <w:autoSpaceDN w:val="0"/>
              <w:spacing w:line="520" w:lineRule="exact"/>
              <w:contextualSpacing/>
              <w:rPr>
                <w:rFonts w:hint="eastAsia" w:ascii="宋体" w:hAnsi="宋体" w:eastAsia="宋体" w:cs="宋体"/>
                <w:sz w:val="22"/>
                <w:szCs w:val="22"/>
                <w:lang w:val="zh-CN"/>
              </w:rPr>
            </w:pPr>
            <w:r>
              <w:rPr>
                <w:rFonts w:hint="eastAsia" w:ascii="宋体" w:hAnsi="宋体" w:eastAsia="宋体" w:cs="宋体"/>
                <w:sz w:val="22"/>
                <w:szCs w:val="22"/>
                <w:lang w:val="zh-CN"/>
              </w:rPr>
              <w:t>整改合格后，支付70%服务</w:t>
            </w:r>
            <w:r>
              <w:rPr>
                <w:rFonts w:hint="eastAsia" w:ascii="宋体" w:hAnsi="宋体" w:eastAsia="宋体" w:cs="宋体"/>
                <w:sz w:val="22"/>
                <w:szCs w:val="22"/>
              </w:rPr>
              <w:t>价款</w:t>
            </w:r>
          </w:p>
        </w:tc>
      </w:tr>
    </w:tbl>
    <w:p w14:paraId="572CDB0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3.服务量化考核评价见下表</w:t>
      </w:r>
    </w:p>
    <w:tbl>
      <w:tblPr>
        <w:tblStyle w:val="9"/>
        <w:tblW w:w="8775" w:type="dxa"/>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970"/>
        <w:gridCol w:w="1140"/>
        <w:gridCol w:w="840"/>
        <w:gridCol w:w="4755"/>
      </w:tblGrid>
      <w:tr w14:paraId="3F9E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070" w:type="dxa"/>
            <w:vAlign w:val="center"/>
          </w:tcPr>
          <w:p w14:paraId="3C93D956">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一级</w:t>
            </w:r>
          </w:p>
          <w:p w14:paraId="263FB167">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指标</w:t>
            </w:r>
          </w:p>
        </w:tc>
        <w:tc>
          <w:tcPr>
            <w:tcW w:w="970" w:type="dxa"/>
            <w:vAlign w:val="center"/>
          </w:tcPr>
          <w:p w14:paraId="08B84E16">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二级</w:t>
            </w:r>
          </w:p>
          <w:p w14:paraId="18F80F18">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指标</w:t>
            </w:r>
          </w:p>
        </w:tc>
        <w:tc>
          <w:tcPr>
            <w:tcW w:w="1140" w:type="dxa"/>
            <w:vAlign w:val="center"/>
          </w:tcPr>
          <w:p w14:paraId="61683AEC">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三级</w:t>
            </w:r>
          </w:p>
          <w:p w14:paraId="05C0AD4F">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指标</w:t>
            </w:r>
          </w:p>
        </w:tc>
        <w:tc>
          <w:tcPr>
            <w:tcW w:w="840" w:type="dxa"/>
            <w:vAlign w:val="center"/>
          </w:tcPr>
          <w:p w14:paraId="30CB5B45">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得分</w:t>
            </w:r>
          </w:p>
        </w:tc>
        <w:tc>
          <w:tcPr>
            <w:tcW w:w="4755" w:type="dxa"/>
            <w:vAlign w:val="center"/>
          </w:tcPr>
          <w:p w14:paraId="74B939D6">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说明</w:t>
            </w:r>
          </w:p>
        </w:tc>
      </w:tr>
      <w:tr w14:paraId="52F7A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restart"/>
            <w:vAlign w:val="center"/>
          </w:tcPr>
          <w:p w14:paraId="7A49C59E">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服务考核指标</w:t>
            </w:r>
          </w:p>
        </w:tc>
        <w:tc>
          <w:tcPr>
            <w:tcW w:w="970" w:type="dxa"/>
            <w:vMerge w:val="restart"/>
            <w:vAlign w:val="center"/>
          </w:tcPr>
          <w:p w14:paraId="65A6463E">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交付</w:t>
            </w:r>
          </w:p>
          <w:p w14:paraId="5144E7B4">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指标</w:t>
            </w:r>
          </w:p>
        </w:tc>
        <w:tc>
          <w:tcPr>
            <w:tcW w:w="1140" w:type="dxa"/>
            <w:vMerge w:val="restart"/>
            <w:vAlign w:val="center"/>
          </w:tcPr>
          <w:p w14:paraId="69396FEA">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服务</w:t>
            </w:r>
          </w:p>
          <w:p w14:paraId="50B9E69D">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质量</w:t>
            </w:r>
          </w:p>
        </w:tc>
        <w:tc>
          <w:tcPr>
            <w:tcW w:w="840" w:type="dxa"/>
            <w:vMerge w:val="restart"/>
            <w:vAlign w:val="center"/>
          </w:tcPr>
          <w:p w14:paraId="48B65EED">
            <w:pPr>
              <w:keepNext w:val="0"/>
              <w:keepLines w:val="0"/>
              <w:pageBreakBefore w:val="0"/>
              <w:widowControl w:val="0"/>
              <w:kinsoku/>
              <w:wordWrap w:val="0"/>
              <w:overflowPunct/>
              <w:topLinePunct/>
              <w:autoSpaceDE/>
              <w:autoSpaceDN/>
              <w:bidi w:val="0"/>
              <w:adjustRightInd/>
              <w:snapToGrid/>
              <w:spacing w:line="324" w:lineRule="auto"/>
              <w:ind w:firstLine="220" w:firstLineChars="100"/>
              <w:textAlignment w:val="auto"/>
              <w:rPr>
                <w:rFonts w:hint="eastAsia" w:ascii="宋体" w:hAnsi="宋体" w:eastAsia="宋体" w:cs="宋体"/>
                <w:sz w:val="22"/>
                <w:szCs w:val="22"/>
              </w:rPr>
            </w:pPr>
            <w:r>
              <w:rPr>
                <w:rFonts w:hint="eastAsia" w:ascii="宋体" w:hAnsi="宋体" w:eastAsia="宋体" w:cs="宋体"/>
                <w:sz w:val="22"/>
                <w:szCs w:val="22"/>
              </w:rPr>
              <w:t>50</w:t>
            </w:r>
          </w:p>
        </w:tc>
        <w:tc>
          <w:tcPr>
            <w:tcW w:w="4755" w:type="dxa"/>
            <w:vAlign w:val="center"/>
          </w:tcPr>
          <w:p w14:paraId="7AA0ECEC">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50</w:t>
            </w:r>
            <w:r>
              <w:rPr>
                <w:rFonts w:hint="eastAsia" w:ascii="宋体" w:hAnsi="宋体" w:eastAsia="宋体" w:cs="宋体"/>
                <w:sz w:val="22"/>
                <w:szCs w:val="22"/>
                <w:lang w:val="zh-CN"/>
              </w:rPr>
              <w:t>分</w:t>
            </w:r>
          </w:p>
        </w:tc>
      </w:tr>
      <w:tr w14:paraId="42A19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6" w:hRule="atLeast"/>
        </w:trPr>
        <w:tc>
          <w:tcPr>
            <w:tcW w:w="1070" w:type="dxa"/>
            <w:vMerge w:val="continue"/>
            <w:vAlign w:val="center"/>
          </w:tcPr>
          <w:p w14:paraId="22CAEC39">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76EC32B8">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4559AC6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591233CB">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4755" w:type="dxa"/>
            <w:vAlign w:val="center"/>
          </w:tcPr>
          <w:p w14:paraId="7D5FE56A">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rPr>
              <w:t>乙方按照要求完成以下社区教育服务内容：1.社区教育课程体系建设。2.社区教育平台建设。3.</w:t>
            </w:r>
            <w:r>
              <w:rPr>
                <w:rFonts w:hint="eastAsia" w:ascii="宋体" w:hAnsi="宋体" w:eastAsia="宋体" w:cs="宋体"/>
                <w:sz w:val="22"/>
                <w:szCs w:val="22"/>
                <w:lang w:val="zh-CN"/>
              </w:rPr>
              <w:t>社区教育特色活动品牌培育。4</w:t>
            </w:r>
            <w:r>
              <w:rPr>
                <w:rFonts w:hint="eastAsia" w:ascii="宋体" w:hAnsi="宋体" w:eastAsia="宋体" w:cs="宋体"/>
                <w:sz w:val="22"/>
                <w:szCs w:val="22"/>
              </w:rPr>
              <w:t>.</w:t>
            </w:r>
            <w:r>
              <w:rPr>
                <w:rFonts w:hint="eastAsia" w:ascii="宋体" w:hAnsi="宋体" w:eastAsia="宋体" w:cs="宋体"/>
                <w:sz w:val="22"/>
                <w:szCs w:val="22"/>
                <w:lang w:val="zh-CN"/>
              </w:rPr>
              <w:t>开展社区教育业务指导与队伍建设。5</w:t>
            </w:r>
            <w:r>
              <w:rPr>
                <w:rFonts w:hint="eastAsia" w:ascii="宋体" w:hAnsi="宋体" w:eastAsia="宋体" w:cs="宋体"/>
                <w:sz w:val="22"/>
                <w:szCs w:val="22"/>
              </w:rPr>
              <w:t>.</w:t>
            </w:r>
            <w:r>
              <w:rPr>
                <w:rFonts w:hint="eastAsia" w:ascii="宋体" w:hAnsi="宋体" w:eastAsia="宋体" w:cs="宋体"/>
                <w:sz w:val="22"/>
                <w:szCs w:val="22"/>
                <w:lang w:val="zh-CN"/>
              </w:rPr>
              <w:t>社区教育研究与宣传。</w:t>
            </w:r>
            <w:r>
              <w:rPr>
                <w:rFonts w:hint="eastAsia" w:ascii="宋体" w:hAnsi="宋体" w:eastAsia="宋体" w:cs="宋体"/>
                <w:sz w:val="22"/>
                <w:szCs w:val="22"/>
              </w:rPr>
              <w:t>对以上各项服务内容进行考核。</w:t>
            </w:r>
            <w:r>
              <w:rPr>
                <w:rFonts w:hint="eastAsia" w:ascii="宋体" w:hAnsi="宋体" w:eastAsia="宋体" w:cs="宋体"/>
                <w:sz w:val="22"/>
                <w:szCs w:val="22"/>
                <w:lang w:val="zh-CN"/>
              </w:rPr>
              <w:t>每有一项</w:t>
            </w:r>
            <w:r>
              <w:rPr>
                <w:rFonts w:hint="eastAsia" w:ascii="宋体" w:hAnsi="宋体" w:eastAsia="宋体" w:cs="宋体"/>
                <w:sz w:val="22"/>
                <w:szCs w:val="22"/>
              </w:rPr>
              <w:t>服务内容及服务质量未达到</w:t>
            </w:r>
            <w:r>
              <w:rPr>
                <w:rFonts w:hint="eastAsia" w:ascii="宋体" w:hAnsi="宋体" w:eastAsia="宋体" w:cs="宋体"/>
                <w:sz w:val="22"/>
                <w:szCs w:val="22"/>
                <w:lang w:val="zh-CN"/>
              </w:rPr>
              <w:t>，且持续至验收时未解决扣</w:t>
            </w:r>
            <w:r>
              <w:rPr>
                <w:rFonts w:hint="eastAsia" w:ascii="宋体" w:hAnsi="宋体" w:eastAsia="宋体" w:cs="宋体"/>
                <w:sz w:val="22"/>
                <w:szCs w:val="22"/>
                <w:lang w:val="en-US" w:eastAsia="zh-CN"/>
              </w:rPr>
              <w:t>10</w:t>
            </w:r>
            <w:r>
              <w:rPr>
                <w:rFonts w:hint="eastAsia" w:ascii="宋体" w:hAnsi="宋体" w:eastAsia="宋体" w:cs="宋体"/>
                <w:sz w:val="22"/>
                <w:szCs w:val="22"/>
                <w:lang w:val="zh-CN"/>
              </w:rPr>
              <w:t>分。</w:t>
            </w:r>
            <w:r>
              <w:rPr>
                <w:rFonts w:hint="eastAsia" w:ascii="宋体" w:hAnsi="宋体" w:eastAsia="宋体" w:cs="宋体"/>
                <w:sz w:val="22"/>
                <w:szCs w:val="22"/>
              </w:rPr>
              <w:t>扣完为止。</w:t>
            </w:r>
          </w:p>
        </w:tc>
      </w:tr>
      <w:tr w14:paraId="07DC8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5E47782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restart"/>
            <w:vAlign w:val="center"/>
          </w:tcPr>
          <w:p w14:paraId="25B64DC4">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效益</w:t>
            </w:r>
          </w:p>
          <w:p w14:paraId="2F07DD7D">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指标</w:t>
            </w:r>
          </w:p>
        </w:tc>
        <w:tc>
          <w:tcPr>
            <w:tcW w:w="1140" w:type="dxa"/>
            <w:vMerge w:val="restart"/>
            <w:vAlign w:val="center"/>
          </w:tcPr>
          <w:p w14:paraId="3ABEDF8C">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社会</w:t>
            </w:r>
          </w:p>
          <w:p w14:paraId="78C62818">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rPr>
            </w:pPr>
            <w:r>
              <w:rPr>
                <w:rFonts w:hint="eastAsia" w:ascii="宋体" w:hAnsi="宋体" w:eastAsia="宋体" w:cs="宋体"/>
                <w:sz w:val="22"/>
                <w:szCs w:val="22"/>
              </w:rPr>
              <w:t>效益</w:t>
            </w:r>
          </w:p>
        </w:tc>
        <w:tc>
          <w:tcPr>
            <w:tcW w:w="840" w:type="dxa"/>
            <w:vMerge w:val="restart"/>
            <w:vAlign w:val="center"/>
          </w:tcPr>
          <w:p w14:paraId="07AB27B4">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8</w:t>
            </w:r>
          </w:p>
        </w:tc>
        <w:tc>
          <w:tcPr>
            <w:tcW w:w="4755" w:type="dxa"/>
            <w:vAlign w:val="center"/>
          </w:tcPr>
          <w:p w14:paraId="6B3AE7BD">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满分</w:t>
            </w:r>
            <w:r>
              <w:rPr>
                <w:rFonts w:hint="eastAsia" w:ascii="宋体" w:hAnsi="宋体" w:eastAsia="宋体" w:cs="宋体"/>
                <w:sz w:val="22"/>
                <w:szCs w:val="22"/>
                <w:lang w:val="en-US" w:eastAsia="zh-CN"/>
              </w:rPr>
              <w:t>8</w:t>
            </w:r>
            <w:r>
              <w:rPr>
                <w:rFonts w:hint="eastAsia" w:ascii="宋体" w:hAnsi="宋体" w:eastAsia="宋体" w:cs="宋体"/>
                <w:sz w:val="22"/>
                <w:szCs w:val="22"/>
              </w:rPr>
              <w:t>分</w:t>
            </w:r>
          </w:p>
        </w:tc>
      </w:tr>
      <w:tr w14:paraId="77B9C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3A5D7A8D">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10A3FE6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rPr>
            </w:pPr>
          </w:p>
        </w:tc>
        <w:tc>
          <w:tcPr>
            <w:tcW w:w="1140" w:type="dxa"/>
            <w:vMerge w:val="continue"/>
            <w:vAlign w:val="center"/>
          </w:tcPr>
          <w:p w14:paraId="2211BDA5">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rPr>
            </w:pPr>
          </w:p>
        </w:tc>
        <w:tc>
          <w:tcPr>
            <w:tcW w:w="840" w:type="dxa"/>
            <w:vMerge w:val="continue"/>
            <w:vAlign w:val="center"/>
          </w:tcPr>
          <w:p w14:paraId="029291B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rPr>
            </w:pPr>
          </w:p>
        </w:tc>
        <w:tc>
          <w:tcPr>
            <w:tcW w:w="4755" w:type="dxa"/>
            <w:vAlign w:val="center"/>
          </w:tcPr>
          <w:p w14:paraId="149EBB24">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社会影响力达到</w:t>
            </w:r>
            <w:r>
              <w:rPr>
                <w:rFonts w:hint="eastAsia" w:ascii="宋体" w:hAnsi="宋体" w:eastAsia="宋体" w:cs="宋体"/>
                <w:color w:val="auto"/>
                <w:sz w:val="22"/>
                <w:szCs w:val="22"/>
              </w:rPr>
              <w:t>以下效益：1.促进全民学习型社会形成。2.促进社区教</w:t>
            </w:r>
            <w:r>
              <w:rPr>
                <w:rFonts w:hint="eastAsia" w:ascii="宋体" w:hAnsi="宋体" w:eastAsia="宋体" w:cs="宋体"/>
                <w:sz w:val="22"/>
                <w:szCs w:val="22"/>
              </w:rPr>
              <w:t>育发展，并提升社区教育知晓率、满意率。能有效促进及有效提升，每满足一项得</w:t>
            </w:r>
            <w:r>
              <w:rPr>
                <w:rFonts w:hint="eastAsia" w:ascii="宋体" w:hAnsi="宋体" w:eastAsia="宋体" w:cs="宋体"/>
                <w:sz w:val="22"/>
                <w:szCs w:val="22"/>
                <w:lang w:val="en-US" w:eastAsia="zh-CN"/>
              </w:rPr>
              <w:t>4</w:t>
            </w:r>
            <w:r>
              <w:rPr>
                <w:rFonts w:hint="eastAsia" w:ascii="宋体" w:hAnsi="宋体" w:eastAsia="宋体" w:cs="宋体"/>
                <w:sz w:val="22"/>
                <w:szCs w:val="22"/>
              </w:rPr>
              <w:t>分。</w:t>
            </w:r>
          </w:p>
        </w:tc>
      </w:tr>
      <w:tr w14:paraId="31EF6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5E7AE8C8">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restart"/>
            <w:vAlign w:val="center"/>
          </w:tcPr>
          <w:p w14:paraId="1C95D9D1">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服务及时有效性</w:t>
            </w:r>
          </w:p>
        </w:tc>
        <w:tc>
          <w:tcPr>
            <w:tcW w:w="1140" w:type="dxa"/>
            <w:vMerge w:val="restart"/>
            <w:vAlign w:val="center"/>
          </w:tcPr>
          <w:p w14:paraId="030BAA25">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服务响应及时率</w:t>
            </w:r>
          </w:p>
        </w:tc>
        <w:tc>
          <w:tcPr>
            <w:tcW w:w="840" w:type="dxa"/>
            <w:vMerge w:val="restart"/>
            <w:vAlign w:val="center"/>
          </w:tcPr>
          <w:p w14:paraId="7CBC894A">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rPr>
              <w:t>4</w:t>
            </w:r>
          </w:p>
        </w:tc>
        <w:tc>
          <w:tcPr>
            <w:tcW w:w="4755" w:type="dxa"/>
            <w:vAlign w:val="center"/>
          </w:tcPr>
          <w:p w14:paraId="7F4437E4">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4</w:t>
            </w:r>
            <w:r>
              <w:rPr>
                <w:rFonts w:hint="eastAsia" w:ascii="宋体" w:hAnsi="宋体" w:eastAsia="宋体" w:cs="宋体"/>
                <w:sz w:val="22"/>
                <w:szCs w:val="22"/>
                <w:lang w:val="zh-CN"/>
              </w:rPr>
              <w:t>分</w:t>
            </w:r>
          </w:p>
        </w:tc>
      </w:tr>
      <w:tr w14:paraId="7245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22781EA8">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5F6E4AEC">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2493FD63">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6AC05F98">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4755" w:type="dxa"/>
            <w:vAlign w:val="center"/>
          </w:tcPr>
          <w:p w14:paraId="595C0B3C">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color w:val="auto"/>
                <w:sz w:val="22"/>
                <w:szCs w:val="22"/>
                <w:lang w:val="zh-CN"/>
              </w:rPr>
              <w:t>及时响应</w:t>
            </w:r>
            <w:r>
              <w:rPr>
                <w:rFonts w:hint="eastAsia" w:ascii="宋体" w:hAnsi="宋体" w:eastAsia="宋体" w:cs="宋体"/>
                <w:color w:val="auto"/>
                <w:sz w:val="22"/>
                <w:szCs w:val="22"/>
              </w:rPr>
              <w:t>甲方</w:t>
            </w:r>
            <w:r>
              <w:rPr>
                <w:rFonts w:hint="eastAsia" w:ascii="宋体" w:hAnsi="宋体" w:eastAsia="宋体" w:cs="宋体"/>
                <w:color w:val="auto"/>
                <w:sz w:val="22"/>
                <w:szCs w:val="22"/>
                <w:lang w:val="zh-CN"/>
              </w:rPr>
              <w:t>应急、咨询等服务需求。及时响应满分，不及时每次扣分0.5分，不响应扣分1分，扣完为止。</w:t>
            </w:r>
          </w:p>
        </w:tc>
      </w:tr>
      <w:tr w14:paraId="7A6F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7D460299">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41E754E4">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restart"/>
            <w:vAlign w:val="center"/>
          </w:tcPr>
          <w:p w14:paraId="5DF14254">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服务人员管理</w:t>
            </w:r>
          </w:p>
        </w:tc>
        <w:tc>
          <w:tcPr>
            <w:tcW w:w="840" w:type="dxa"/>
            <w:vMerge w:val="restart"/>
            <w:vAlign w:val="center"/>
          </w:tcPr>
          <w:p w14:paraId="2DAFA9CA">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3</w:t>
            </w:r>
          </w:p>
        </w:tc>
        <w:tc>
          <w:tcPr>
            <w:tcW w:w="4755" w:type="dxa"/>
            <w:vAlign w:val="center"/>
          </w:tcPr>
          <w:p w14:paraId="7BA66FBB">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3</w:t>
            </w:r>
            <w:r>
              <w:rPr>
                <w:rFonts w:hint="eastAsia" w:ascii="宋体" w:hAnsi="宋体" w:eastAsia="宋体" w:cs="宋体"/>
                <w:sz w:val="22"/>
                <w:szCs w:val="22"/>
                <w:lang w:val="zh-CN"/>
              </w:rPr>
              <w:t>分</w:t>
            </w:r>
          </w:p>
        </w:tc>
      </w:tr>
      <w:tr w14:paraId="0DD0A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59C79A2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01266F5A">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17256C2A">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7C6BB092">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4755" w:type="dxa"/>
            <w:vAlign w:val="center"/>
          </w:tcPr>
          <w:p w14:paraId="59859799">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color w:val="auto"/>
                <w:sz w:val="22"/>
                <w:szCs w:val="22"/>
                <w:lang w:val="zh-CN"/>
              </w:rPr>
              <w:t>服务人员管理符合</w:t>
            </w:r>
            <w:r>
              <w:rPr>
                <w:rFonts w:hint="eastAsia" w:ascii="宋体" w:hAnsi="宋体" w:eastAsia="宋体" w:cs="宋体"/>
                <w:color w:val="auto"/>
                <w:sz w:val="22"/>
                <w:szCs w:val="22"/>
              </w:rPr>
              <w:t>甲方</w:t>
            </w:r>
            <w:r>
              <w:rPr>
                <w:rFonts w:hint="eastAsia" w:ascii="宋体" w:hAnsi="宋体" w:eastAsia="宋体" w:cs="宋体"/>
                <w:color w:val="auto"/>
                <w:sz w:val="22"/>
                <w:szCs w:val="22"/>
                <w:lang w:val="zh-CN"/>
              </w:rPr>
              <w:t>要求，拥有规范的服务人员管理制度，计</w:t>
            </w: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lang w:val="zh-CN"/>
              </w:rPr>
              <w:t>分，每出现1次不服从管理的事件，扣1分。</w:t>
            </w:r>
          </w:p>
        </w:tc>
      </w:tr>
      <w:tr w14:paraId="21DD8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5AD538FD">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4EF9082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restart"/>
            <w:vAlign w:val="center"/>
          </w:tcPr>
          <w:p w14:paraId="51C10505">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服务人员能力</w:t>
            </w:r>
          </w:p>
        </w:tc>
        <w:tc>
          <w:tcPr>
            <w:tcW w:w="840" w:type="dxa"/>
            <w:vMerge w:val="restart"/>
            <w:vAlign w:val="center"/>
          </w:tcPr>
          <w:p w14:paraId="693AF263">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3</w:t>
            </w:r>
          </w:p>
        </w:tc>
        <w:tc>
          <w:tcPr>
            <w:tcW w:w="4755" w:type="dxa"/>
            <w:vAlign w:val="center"/>
          </w:tcPr>
          <w:p w14:paraId="6E37D14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3</w:t>
            </w:r>
            <w:r>
              <w:rPr>
                <w:rFonts w:hint="eastAsia" w:ascii="宋体" w:hAnsi="宋体" w:eastAsia="宋体" w:cs="宋体"/>
                <w:sz w:val="22"/>
                <w:szCs w:val="22"/>
                <w:lang w:val="zh-CN"/>
              </w:rPr>
              <w:t>分</w:t>
            </w:r>
          </w:p>
        </w:tc>
      </w:tr>
      <w:tr w14:paraId="7AA53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63717B0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09F7F67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2FAF538B">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0867C5A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4755" w:type="dxa"/>
            <w:vAlign w:val="center"/>
          </w:tcPr>
          <w:p w14:paraId="445220F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服务团队人员能力满足</w:t>
            </w:r>
            <w:r>
              <w:rPr>
                <w:rFonts w:hint="eastAsia" w:ascii="宋体" w:hAnsi="宋体" w:eastAsia="宋体" w:cs="宋体"/>
                <w:sz w:val="22"/>
                <w:szCs w:val="22"/>
              </w:rPr>
              <w:t>甲方</w:t>
            </w:r>
            <w:r>
              <w:rPr>
                <w:rFonts w:hint="eastAsia" w:ascii="宋体" w:hAnsi="宋体" w:eastAsia="宋体" w:cs="宋体"/>
                <w:sz w:val="22"/>
                <w:szCs w:val="22"/>
                <w:lang w:val="zh-CN"/>
              </w:rPr>
              <w:t>要求。满足为满分，基本满足</w:t>
            </w:r>
            <w:r>
              <w:rPr>
                <w:rFonts w:hint="eastAsia" w:ascii="宋体" w:hAnsi="宋体" w:eastAsia="宋体" w:cs="宋体"/>
                <w:sz w:val="22"/>
                <w:szCs w:val="22"/>
                <w:lang w:val="en-US" w:eastAsia="zh-CN"/>
              </w:rPr>
              <w:t>1.5</w:t>
            </w:r>
            <w:r>
              <w:rPr>
                <w:rFonts w:hint="eastAsia" w:ascii="宋体" w:hAnsi="宋体" w:eastAsia="宋体" w:cs="宋体"/>
                <w:sz w:val="22"/>
                <w:szCs w:val="22"/>
                <w:lang w:val="zh-CN"/>
              </w:rPr>
              <w:t>分，不满足</w:t>
            </w:r>
            <w:r>
              <w:rPr>
                <w:rFonts w:hint="eastAsia" w:ascii="宋体" w:hAnsi="宋体" w:eastAsia="宋体" w:cs="宋体"/>
                <w:sz w:val="22"/>
                <w:szCs w:val="22"/>
                <w:lang w:val="en-US" w:eastAsia="zh-CN"/>
              </w:rPr>
              <w:t>0</w:t>
            </w:r>
            <w:r>
              <w:rPr>
                <w:rFonts w:hint="eastAsia" w:ascii="宋体" w:hAnsi="宋体" w:eastAsia="宋体" w:cs="宋体"/>
                <w:sz w:val="22"/>
                <w:szCs w:val="22"/>
                <w:lang w:val="zh-CN"/>
              </w:rPr>
              <w:t>分。</w:t>
            </w:r>
          </w:p>
        </w:tc>
      </w:tr>
      <w:tr w14:paraId="7565B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6952C846">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restart"/>
            <w:vAlign w:val="center"/>
          </w:tcPr>
          <w:p w14:paraId="5A471642">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服务过程管理</w:t>
            </w:r>
          </w:p>
        </w:tc>
        <w:tc>
          <w:tcPr>
            <w:tcW w:w="1140" w:type="dxa"/>
            <w:vMerge w:val="restart"/>
            <w:vAlign w:val="center"/>
          </w:tcPr>
          <w:p w14:paraId="288A969F">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w:t>
            </w:r>
          </w:p>
          <w:p w14:paraId="17EF131F">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过程</w:t>
            </w:r>
          </w:p>
        </w:tc>
        <w:tc>
          <w:tcPr>
            <w:tcW w:w="840" w:type="dxa"/>
            <w:vMerge w:val="restart"/>
            <w:vAlign w:val="center"/>
          </w:tcPr>
          <w:p w14:paraId="24F57969">
            <w:pPr>
              <w:keepNext w:val="0"/>
              <w:keepLines w:val="0"/>
              <w:pageBreakBefore w:val="0"/>
              <w:widowControl w:val="0"/>
              <w:kinsoku/>
              <w:wordWrap w:val="0"/>
              <w:overflowPunct/>
              <w:topLinePunct/>
              <w:autoSpaceDE/>
              <w:autoSpaceDN/>
              <w:bidi w:val="0"/>
              <w:adjustRightInd/>
              <w:snapToGrid/>
              <w:spacing w:line="324" w:lineRule="auto"/>
              <w:ind w:firstLine="220" w:firstLineChars="100"/>
              <w:textAlignment w:val="auto"/>
              <w:rPr>
                <w:rFonts w:hint="eastAsia" w:ascii="宋体" w:hAnsi="宋体" w:eastAsia="宋体" w:cs="宋体"/>
                <w:sz w:val="22"/>
                <w:szCs w:val="22"/>
                <w:lang w:val="zh-CN"/>
              </w:rPr>
            </w:pPr>
            <w:r>
              <w:rPr>
                <w:rFonts w:hint="eastAsia" w:ascii="宋体" w:hAnsi="宋体" w:eastAsia="宋体" w:cs="宋体"/>
                <w:sz w:val="22"/>
                <w:szCs w:val="22"/>
              </w:rPr>
              <w:t>3</w:t>
            </w:r>
          </w:p>
        </w:tc>
        <w:tc>
          <w:tcPr>
            <w:tcW w:w="4755" w:type="dxa"/>
            <w:vAlign w:val="center"/>
          </w:tcPr>
          <w:p w14:paraId="42A0A659">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3</w:t>
            </w:r>
            <w:r>
              <w:rPr>
                <w:rFonts w:hint="eastAsia" w:ascii="宋体" w:hAnsi="宋体" w:eastAsia="宋体" w:cs="宋体"/>
                <w:sz w:val="22"/>
                <w:szCs w:val="22"/>
                <w:lang w:val="zh-CN"/>
              </w:rPr>
              <w:t>分</w:t>
            </w:r>
          </w:p>
        </w:tc>
      </w:tr>
      <w:tr w14:paraId="3E9A4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1EEDCFD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645EA1CC">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14E70834">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840" w:type="dxa"/>
            <w:vMerge w:val="continue"/>
            <w:vAlign w:val="center"/>
          </w:tcPr>
          <w:p w14:paraId="33285C57">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4755" w:type="dxa"/>
            <w:vAlign w:val="center"/>
          </w:tcPr>
          <w:p w14:paraId="29BCB95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服务过程规范，符合</w:t>
            </w:r>
            <w:r>
              <w:rPr>
                <w:rFonts w:hint="eastAsia" w:ascii="宋体" w:hAnsi="宋体" w:eastAsia="宋体" w:cs="宋体"/>
                <w:sz w:val="22"/>
                <w:szCs w:val="22"/>
              </w:rPr>
              <w:t>甲方</w:t>
            </w:r>
            <w:r>
              <w:rPr>
                <w:rFonts w:hint="eastAsia" w:ascii="宋体" w:hAnsi="宋体" w:eastAsia="宋体" w:cs="宋体"/>
                <w:sz w:val="22"/>
                <w:szCs w:val="22"/>
                <w:lang w:val="zh-CN"/>
              </w:rPr>
              <w:t>管理要求，服务过程中不出现重大风险问题，得满分，有一项重大风险扣1分。</w:t>
            </w:r>
          </w:p>
        </w:tc>
      </w:tr>
      <w:tr w14:paraId="2702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7F44B6C3">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635A6C38">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restart"/>
            <w:vAlign w:val="center"/>
          </w:tcPr>
          <w:p w14:paraId="6B2AA169">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进度</w:t>
            </w:r>
          </w:p>
          <w:p w14:paraId="3946893E">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管理</w:t>
            </w:r>
          </w:p>
        </w:tc>
        <w:tc>
          <w:tcPr>
            <w:tcW w:w="840" w:type="dxa"/>
            <w:vMerge w:val="restart"/>
            <w:vAlign w:val="center"/>
          </w:tcPr>
          <w:p w14:paraId="20032282">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4</w:t>
            </w:r>
          </w:p>
        </w:tc>
        <w:tc>
          <w:tcPr>
            <w:tcW w:w="4755" w:type="dxa"/>
            <w:vAlign w:val="center"/>
          </w:tcPr>
          <w:p w14:paraId="01DF32B5">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4</w:t>
            </w:r>
            <w:r>
              <w:rPr>
                <w:rFonts w:hint="eastAsia" w:ascii="宋体" w:hAnsi="宋体" w:eastAsia="宋体" w:cs="宋体"/>
                <w:sz w:val="22"/>
                <w:szCs w:val="22"/>
                <w:lang w:val="zh-CN"/>
              </w:rPr>
              <w:t>分</w:t>
            </w:r>
          </w:p>
        </w:tc>
      </w:tr>
      <w:tr w14:paraId="339C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08E86E5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6595284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26DA5B07">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840" w:type="dxa"/>
            <w:vMerge w:val="continue"/>
            <w:vAlign w:val="center"/>
          </w:tcPr>
          <w:p w14:paraId="4B9D1B48">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4755" w:type="dxa"/>
            <w:vAlign w:val="center"/>
          </w:tcPr>
          <w:p w14:paraId="2381C058">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如因</w:t>
            </w:r>
            <w:r>
              <w:rPr>
                <w:rFonts w:hint="eastAsia" w:ascii="宋体" w:hAnsi="宋体" w:eastAsia="宋体" w:cs="宋体"/>
                <w:sz w:val="22"/>
                <w:szCs w:val="22"/>
              </w:rPr>
              <w:t>乙方</w:t>
            </w:r>
            <w:r>
              <w:rPr>
                <w:rFonts w:hint="eastAsia" w:ascii="宋体" w:hAnsi="宋体" w:eastAsia="宋体" w:cs="宋体"/>
                <w:sz w:val="22"/>
                <w:szCs w:val="22"/>
                <w:lang w:val="zh-CN"/>
              </w:rPr>
              <w:t>原因延期</w:t>
            </w:r>
            <w:r>
              <w:rPr>
                <w:rFonts w:hint="eastAsia" w:ascii="宋体" w:hAnsi="宋体" w:eastAsia="宋体" w:cs="宋体"/>
                <w:sz w:val="22"/>
                <w:szCs w:val="22"/>
              </w:rPr>
              <w:t>完成</w:t>
            </w:r>
            <w:r>
              <w:rPr>
                <w:rFonts w:hint="eastAsia" w:ascii="宋体" w:hAnsi="宋体" w:eastAsia="宋体" w:cs="宋体"/>
                <w:sz w:val="22"/>
                <w:szCs w:val="22"/>
                <w:lang w:val="zh-CN"/>
              </w:rPr>
              <w:t>服务内容或服务成果，提醒后仍未</w:t>
            </w:r>
            <w:r>
              <w:rPr>
                <w:rFonts w:hint="eastAsia" w:ascii="宋体" w:hAnsi="宋体" w:eastAsia="宋体" w:cs="宋体"/>
                <w:sz w:val="22"/>
                <w:szCs w:val="22"/>
              </w:rPr>
              <w:t>及时完善</w:t>
            </w:r>
            <w:r>
              <w:rPr>
                <w:rFonts w:hint="eastAsia" w:ascii="宋体" w:hAnsi="宋体" w:eastAsia="宋体" w:cs="宋体"/>
                <w:sz w:val="22"/>
                <w:szCs w:val="22"/>
                <w:lang w:val="zh-CN"/>
              </w:rPr>
              <w:t>，对项目进度产生重大影响的，每次扣减</w:t>
            </w:r>
            <w:r>
              <w:rPr>
                <w:rFonts w:hint="eastAsia" w:ascii="宋体" w:hAnsi="宋体" w:eastAsia="宋体" w:cs="宋体"/>
                <w:sz w:val="22"/>
                <w:szCs w:val="22"/>
              </w:rPr>
              <w:t>1</w:t>
            </w:r>
            <w:r>
              <w:rPr>
                <w:rFonts w:hint="eastAsia" w:ascii="宋体" w:hAnsi="宋体" w:eastAsia="宋体" w:cs="宋体"/>
                <w:sz w:val="22"/>
                <w:szCs w:val="22"/>
                <w:lang w:val="zh-CN"/>
              </w:rPr>
              <w:t>分，对项目进度产生一般影响的，每次扣减0.5分。</w:t>
            </w:r>
          </w:p>
        </w:tc>
      </w:tr>
      <w:tr w14:paraId="71D3F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000D4CD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008AF629">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restart"/>
            <w:vAlign w:val="center"/>
          </w:tcPr>
          <w:p w14:paraId="7C4A2D06">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问题</w:t>
            </w:r>
          </w:p>
          <w:p w14:paraId="0D933CCF">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管理</w:t>
            </w:r>
          </w:p>
        </w:tc>
        <w:tc>
          <w:tcPr>
            <w:tcW w:w="840" w:type="dxa"/>
            <w:vMerge w:val="restart"/>
            <w:vAlign w:val="center"/>
          </w:tcPr>
          <w:p w14:paraId="6F0D92FD">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3</w:t>
            </w:r>
          </w:p>
        </w:tc>
        <w:tc>
          <w:tcPr>
            <w:tcW w:w="4755" w:type="dxa"/>
            <w:vAlign w:val="center"/>
          </w:tcPr>
          <w:p w14:paraId="6EA9C7A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lang w:val="en-US" w:eastAsia="zh-CN"/>
              </w:rPr>
              <w:t>3</w:t>
            </w:r>
            <w:r>
              <w:rPr>
                <w:rFonts w:hint="eastAsia" w:ascii="宋体" w:hAnsi="宋体" w:eastAsia="宋体" w:cs="宋体"/>
                <w:sz w:val="22"/>
                <w:szCs w:val="22"/>
                <w:lang w:val="zh-CN"/>
              </w:rPr>
              <w:t>分</w:t>
            </w:r>
          </w:p>
        </w:tc>
      </w:tr>
      <w:tr w14:paraId="0AAF2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296E1CE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32A93A2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02E7EFE8">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840" w:type="dxa"/>
            <w:vMerge w:val="continue"/>
            <w:vAlign w:val="center"/>
          </w:tcPr>
          <w:p w14:paraId="4219B28C">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4755" w:type="dxa"/>
            <w:vAlign w:val="center"/>
          </w:tcPr>
          <w:p w14:paraId="361132E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问题管理完整、有效、及时，每有一项问题超时，且持续至验收时未解决扣1分。</w:t>
            </w:r>
          </w:p>
        </w:tc>
      </w:tr>
      <w:tr w14:paraId="3621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343320E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restart"/>
            <w:vAlign w:val="center"/>
          </w:tcPr>
          <w:p w14:paraId="6000E48F">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质量</w:t>
            </w:r>
          </w:p>
          <w:p w14:paraId="657A35E3">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管理</w:t>
            </w:r>
          </w:p>
        </w:tc>
        <w:tc>
          <w:tcPr>
            <w:tcW w:w="1140" w:type="dxa"/>
            <w:vMerge w:val="restart"/>
            <w:vAlign w:val="center"/>
          </w:tcPr>
          <w:p w14:paraId="56465279">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服务</w:t>
            </w:r>
          </w:p>
          <w:p w14:paraId="03666D7B">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报告</w:t>
            </w:r>
          </w:p>
        </w:tc>
        <w:tc>
          <w:tcPr>
            <w:tcW w:w="840" w:type="dxa"/>
            <w:vMerge w:val="restart"/>
            <w:vAlign w:val="center"/>
          </w:tcPr>
          <w:p w14:paraId="57EF23D8">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color w:val="auto"/>
                <w:sz w:val="22"/>
                <w:szCs w:val="22"/>
                <w:lang w:val="zh-CN"/>
              </w:rPr>
            </w:pPr>
            <w:r>
              <w:rPr>
                <w:rFonts w:hint="eastAsia" w:ascii="宋体" w:hAnsi="宋体" w:eastAsia="宋体" w:cs="宋体"/>
                <w:color w:val="auto"/>
                <w:sz w:val="22"/>
                <w:szCs w:val="22"/>
              </w:rPr>
              <w:t>5</w:t>
            </w:r>
          </w:p>
        </w:tc>
        <w:tc>
          <w:tcPr>
            <w:tcW w:w="4755" w:type="dxa"/>
            <w:vAlign w:val="center"/>
          </w:tcPr>
          <w:p w14:paraId="4FFEEA6F">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满分</w:t>
            </w:r>
            <w:r>
              <w:rPr>
                <w:rFonts w:hint="eastAsia" w:ascii="宋体" w:hAnsi="宋体" w:eastAsia="宋体" w:cs="宋体"/>
                <w:color w:val="auto"/>
                <w:sz w:val="22"/>
                <w:szCs w:val="22"/>
              </w:rPr>
              <w:t>5</w:t>
            </w:r>
            <w:r>
              <w:rPr>
                <w:rFonts w:hint="eastAsia" w:ascii="宋体" w:hAnsi="宋体" w:eastAsia="宋体" w:cs="宋体"/>
                <w:color w:val="auto"/>
                <w:sz w:val="22"/>
                <w:szCs w:val="22"/>
                <w:lang w:val="zh-CN"/>
              </w:rPr>
              <w:t>分</w:t>
            </w:r>
          </w:p>
        </w:tc>
      </w:tr>
      <w:tr w14:paraId="65E9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267FD3D3">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053061D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401109BF">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color w:val="auto"/>
                <w:sz w:val="22"/>
                <w:szCs w:val="22"/>
                <w:lang w:val="zh-CN"/>
              </w:rPr>
            </w:pPr>
          </w:p>
        </w:tc>
        <w:tc>
          <w:tcPr>
            <w:tcW w:w="840" w:type="dxa"/>
            <w:vMerge w:val="continue"/>
            <w:vAlign w:val="center"/>
          </w:tcPr>
          <w:p w14:paraId="3B732C45">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color w:val="auto"/>
                <w:sz w:val="22"/>
                <w:szCs w:val="22"/>
                <w:lang w:val="zh-CN"/>
              </w:rPr>
            </w:pPr>
          </w:p>
        </w:tc>
        <w:tc>
          <w:tcPr>
            <w:tcW w:w="4755" w:type="dxa"/>
            <w:vAlign w:val="center"/>
          </w:tcPr>
          <w:p w14:paraId="30377F6A">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服务期满需提交服务总结报告，报告不出现结构性问题、质量问题，完全满足得</w:t>
            </w:r>
            <w:r>
              <w:rPr>
                <w:rFonts w:hint="eastAsia" w:ascii="宋体" w:hAnsi="宋体" w:eastAsia="宋体" w:cs="宋体"/>
                <w:color w:val="auto"/>
                <w:sz w:val="22"/>
                <w:szCs w:val="22"/>
              </w:rPr>
              <w:t>5</w:t>
            </w:r>
            <w:r>
              <w:rPr>
                <w:rFonts w:hint="eastAsia" w:ascii="宋体" w:hAnsi="宋体" w:eastAsia="宋体" w:cs="宋体"/>
                <w:color w:val="auto"/>
                <w:sz w:val="22"/>
                <w:szCs w:val="22"/>
                <w:lang w:val="zh-CN"/>
              </w:rPr>
              <w:t>分，有一</w:t>
            </w:r>
            <w:r>
              <w:rPr>
                <w:rFonts w:hint="eastAsia" w:ascii="宋体" w:hAnsi="宋体" w:eastAsia="宋体" w:cs="宋体"/>
                <w:color w:val="auto"/>
                <w:sz w:val="22"/>
                <w:szCs w:val="22"/>
              </w:rPr>
              <w:t>项不满足</w:t>
            </w:r>
            <w:r>
              <w:rPr>
                <w:rFonts w:hint="eastAsia" w:ascii="宋体" w:hAnsi="宋体" w:eastAsia="宋体" w:cs="宋体"/>
                <w:color w:val="auto"/>
                <w:sz w:val="22"/>
                <w:szCs w:val="22"/>
                <w:lang w:val="zh-CN"/>
              </w:rPr>
              <w:t>，扣1分</w:t>
            </w:r>
          </w:p>
        </w:tc>
      </w:tr>
      <w:tr w14:paraId="3A36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1BCF5B5D">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2351C66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restart"/>
            <w:vAlign w:val="center"/>
          </w:tcPr>
          <w:p w14:paraId="1AD2CFB9">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质量</w:t>
            </w:r>
          </w:p>
          <w:p w14:paraId="0E9A3E8C">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管理</w:t>
            </w:r>
          </w:p>
        </w:tc>
        <w:tc>
          <w:tcPr>
            <w:tcW w:w="840" w:type="dxa"/>
            <w:vMerge w:val="restart"/>
            <w:vAlign w:val="center"/>
          </w:tcPr>
          <w:p w14:paraId="46CB535C">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rPr>
              <w:t>5</w:t>
            </w:r>
          </w:p>
        </w:tc>
        <w:tc>
          <w:tcPr>
            <w:tcW w:w="4755" w:type="dxa"/>
            <w:vAlign w:val="center"/>
          </w:tcPr>
          <w:p w14:paraId="1E164BD4">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w:t>
            </w:r>
            <w:r>
              <w:rPr>
                <w:rFonts w:hint="eastAsia" w:ascii="宋体" w:hAnsi="宋体" w:eastAsia="宋体" w:cs="宋体"/>
                <w:sz w:val="22"/>
                <w:szCs w:val="22"/>
              </w:rPr>
              <w:t>5</w:t>
            </w:r>
            <w:r>
              <w:rPr>
                <w:rFonts w:hint="eastAsia" w:ascii="宋体" w:hAnsi="宋体" w:eastAsia="宋体" w:cs="宋体"/>
                <w:sz w:val="22"/>
                <w:szCs w:val="22"/>
                <w:lang w:val="zh-CN"/>
              </w:rPr>
              <w:t>分</w:t>
            </w:r>
          </w:p>
        </w:tc>
      </w:tr>
      <w:tr w14:paraId="2B67D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136D86F6">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1693AEE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23C42EDE">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840" w:type="dxa"/>
            <w:vMerge w:val="continue"/>
            <w:vAlign w:val="center"/>
          </w:tcPr>
          <w:p w14:paraId="227756C0">
            <w:pPr>
              <w:keepNext w:val="0"/>
              <w:keepLines w:val="0"/>
              <w:pageBreakBefore w:val="0"/>
              <w:widowControl w:val="0"/>
              <w:kinsoku/>
              <w:wordWrap w:val="0"/>
              <w:overflowPunct/>
              <w:topLinePunct/>
              <w:autoSpaceDE/>
              <w:autoSpaceDN/>
              <w:bidi w:val="0"/>
              <w:adjustRightInd/>
              <w:snapToGrid/>
              <w:spacing w:line="324" w:lineRule="auto"/>
              <w:ind w:firstLine="440" w:firstLineChars="200"/>
              <w:jc w:val="center"/>
              <w:textAlignment w:val="auto"/>
              <w:rPr>
                <w:rFonts w:hint="eastAsia" w:ascii="宋体" w:hAnsi="宋体" w:eastAsia="宋体" w:cs="宋体"/>
                <w:sz w:val="22"/>
                <w:szCs w:val="22"/>
                <w:lang w:val="zh-CN"/>
              </w:rPr>
            </w:pPr>
          </w:p>
        </w:tc>
        <w:tc>
          <w:tcPr>
            <w:tcW w:w="4755" w:type="dxa"/>
            <w:vAlign w:val="center"/>
          </w:tcPr>
          <w:p w14:paraId="7A09C123">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服务质量管理规范，符合质量要求，有一项质量问题扣</w:t>
            </w:r>
            <w:r>
              <w:rPr>
                <w:rFonts w:hint="eastAsia" w:ascii="宋体" w:hAnsi="宋体" w:eastAsia="宋体" w:cs="宋体"/>
                <w:sz w:val="22"/>
                <w:szCs w:val="22"/>
              </w:rPr>
              <w:t>1</w:t>
            </w:r>
            <w:r>
              <w:rPr>
                <w:rFonts w:hint="eastAsia" w:ascii="宋体" w:hAnsi="宋体" w:eastAsia="宋体" w:cs="宋体"/>
                <w:sz w:val="22"/>
                <w:szCs w:val="22"/>
                <w:lang w:val="zh-CN"/>
              </w:rPr>
              <w:t>分。</w:t>
            </w:r>
          </w:p>
        </w:tc>
      </w:tr>
      <w:tr w14:paraId="0627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4FE52FB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restart"/>
            <w:vAlign w:val="center"/>
          </w:tcPr>
          <w:p w14:paraId="2E66262D">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服务满意度</w:t>
            </w:r>
          </w:p>
        </w:tc>
        <w:tc>
          <w:tcPr>
            <w:tcW w:w="1140" w:type="dxa"/>
            <w:vMerge w:val="restart"/>
            <w:vAlign w:val="center"/>
          </w:tcPr>
          <w:p w14:paraId="3C83A684">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w:t>
            </w:r>
          </w:p>
          <w:p w14:paraId="72074EFB">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满意度</w:t>
            </w:r>
          </w:p>
        </w:tc>
        <w:tc>
          <w:tcPr>
            <w:tcW w:w="840" w:type="dxa"/>
            <w:vMerge w:val="restart"/>
            <w:vAlign w:val="center"/>
          </w:tcPr>
          <w:p w14:paraId="5D586A91">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5</w:t>
            </w:r>
          </w:p>
        </w:tc>
        <w:tc>
          <w:tcPr>
            <w:tcW w:w="4755" w:type="dxa"/>
            <w:vAlign w:val="center"/>
          </w:tcPr>
          <w:p w14:paraId="0D230E0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满分5分</w:t>
            </w:r>
          </w:p>
        </w:tc>
      </w:tr>
      <w:tr w14:paraId="40CA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782ADC6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352D75FA">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4515D835">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131055E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4755" w:type="dxa"/>
            <w:vAlign w:val="center"/>
          </w:tcPr>
          <w:p w14:paraId="73E71408">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rPr>
              <w:t>乙方</w:t>
            </w:r>
            <w:r>
              <w:rPr>
                <w:rFonts w:hint="eastAsia" w:ascii="宋体" w:hAnsi="宋体" w:eastAsia="宋体" w:cs="宋体"/>
                <w:sz w:val="22"/>
                <w:szCs w:val="22"/>
                <w:lang w:val="zh-CN"/>
              </w:rPr>
              <w:t>完成所有服务工作，由</w:t>
            </w:r>
            <w:r>
              <w:rPr>
                <w:rFonts w:hint="eastAsia" w:ascii="宋体" w:hAnsi="宋体" w:eastAsia="宋体" w:cs="宋体"/>
                <w:sz w:val="22"/>
                <w:szCs w:val="22"/>
              </w:rPr>
              <w:t>甲方</w:t>
            </w:r>
            <w:r>
              <w:rPr>
                <w:rFonts w:hint="eastAsia" w:ascii="宋体" w:hAnsi="宋体" w:eastAsia="宋体" w:cs="宋体"/>
                <w:sz w:val="22"/>
                <w:szCs w:val="22"/>
                <w:lang w:val="zh-CN"/>
              </w:rPr>
              <w:t>根据</w:t>
            </w:r>
            <w:r>
              <w:rPr>
                <w:rFonts w:hint="eastAsia" w:ascii="宋体" w:hAnsi="宋体" w:eastAsia="宋体" w:cs="宋体"/>
                <w:sz w:val="22"/>
                <w:szCs w:val="22"/>
              </w:rPr>
              <w:t>乙</w:t>
            </w:r>
            <w:r>
              <w:rPr>
                <w:rFonts w:hint="eastAsia" w:ascii="宋体" w:hAnsi="宋体" w:eastAsia="宋体" w:cs="宋体"/>
                <w:sz w:val="22"/>
                <w:szCs w:val="22"/>
                <w:lang w:val="zh-CN"/>
              </w:rPr>
              <w:t>方的服务态度、服务情况据实进行评分。</w:t>
            </w:r>
          </w:p>
        </w:tc>
      </w:tr>
      <w:tr w14:paraId="4158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10B2FA4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35BA7A5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restart"/>
            <w:vAlign w:val="center"/>
          </w:tcPr>
          <w:p w14:paraId="7E63A894">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能力</w:t>
            </w:r>
          </w:p>
          <w:p w14:paraId="4F0C6658">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满意度</w:t>
            </w:r>
          </w:p>
        </w:tc>
        <w:tc>
          <w:tcPr>
            <w:tcW w:w="840" w:type="dxa"/>
            <w:vMerge w:val="restart"/>
            <w:vAlign w:val="center"/>
          </w:tcPr>
          <w:p w14:paraId="553493B2">
            <w:pPr>
              <w:keepNext w:val="0"/>
              <w:keepLines w:val="0"/>
              <w:pageBreakBefore w:val="0"/>
              <w:widowControl w:val="0"/>
              <w:kinsoku/>
              <w:wordWrap w:val="0"/>
              <w:overflowPunct/>
              <w:topLinePunct/>
              <w:autoSpaceDE/>
              <w:autoSpaceDN/>
              <w:bidi w:val="0"/>
              <w:adjustRightInd/>
              <w:snapToGrid/>
              <w:spacing w:line="324" w:lineRule="auto"/>
              <w:ind w:firstLine="220" w:firstLineChars="1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5</w:t>
            </w:r>
          </w:p>
        </w:tc>
        <w:tc>
          <w:tcPr>
            <w:tcW w:w="4755" w:type="dxa"/>
            <w:vAlign w:val="center"/>
          </w:tcPr>
          <w:p w14:paraId="6691A54F">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满分5分</w:t>
            </w:r>
          </w:p>
        </w:tc>
      </w:tr>
      <w:tr w14:paraId="2F96D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7F3925E9">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4B31248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793E7FE1">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374511FE">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4755" w:type="dxa"/>
            <w:vAlign w:val="center"/>
          </w:tcPr>
          <w:p w14:paraId="477FDC6F">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服务人员</w:t>
            </w:r>
            <w:r>
              <w:rPr>
                <w:rFonts w:hint="eastAsia" w:ascii="宋体" w:hAnsi="宋体" w:eastAsia="宋体" w:cs="宋体"/>
                <w:sz w:val="22"/>
                <w:szCs w:val="22"/>
              </w:rPr>
              <w:t>业务</w:t>
            </w:r>
            <w:r>
              <w:rPr>
                <w:rFonts w:hint="eastAsia" w:ascii="宋体" w:hAnsi="宋体" w:eastAsia="宋体" w:cs="宋体"/>
                <w:sz w:val="22"/>
                <w:szCs w:val="22"/>
                <w:lang w:val="zh-CN"/>
              </w:rPr>
              <w:t>能力足以实施服务，和应对服务过程中的各类实际问题，并由</w:t>
            </w:r>
            <w:r>
              <w:rPr>
                <w:rFonts w:hint="eastAsia" w:ascii="宋体" w:hAnsi="宋体" w:eastAsia="宋体" w:cs="宋体"/>
                <w:sz w:val="22"/>
                <w:szCs w:val="22"/>
              </w:rPr>
              <w:t>甲方</w:t>
            </w:r>
            <w:r>
              <w:rPr>
                <w:rFonts w:hint="eastAsia" w:ascii="宋体" w:hAnsi="宋体" w:eastAsia="宋体" w:cs="宋体"/>
                <w:sz w:val="22"/>
                <w:szCs w:val="22"/>
                <w:lang w:val="zh-CN"/>
              </w:rPr>
              <w:t>根据</w:t>
            </w:r>
            <w:r>
              <w:rPr>
                <w:rFonts w:hint="eastAsia" w:ascii="宋体" w:hAnsi="宋体" w:eastAsia="宋体" w:cs="宋体"/>
                <w:sz w:val="22"/>
                <w:szCs w:val="22"/>
              </w:rPr>
              <w:t>乙</w:t>
            </w:r>
            <w:r>
              <w:rPr>
                <w:rFonts w:hint="eastAsia" w:ascii="宋体" w:hAnsi="宋体" w:eastAsia="宋体" w:cs="宋体"/>
                <w:sz w:val="22"/>
                <w:szCs w:val="22"/>
                <w:lang w:val="zh-CN"/>
              </w:rPr>
              <w:t>方的技术能力据实进行评分。</w:t>
            </w:r>
          </w:p>
        </w:tc>
      </w:tr>
      <w:tr w14:paraId="1590D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61BE4AC4">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restart"/>
            <w:vAlign w:val="center"/>
          </w:tcPr>
          <w:p w14:paraId="5C1092FB">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服务加分项</w:t>
            </w:r>
          </w:p>
        </w:tc>
        <w:tc>
          <w:tcPr>
            <w:tcW w:w="1140" w:type="dxa"/>
            <w:vMerge w:val="restart"/>
            <w:vAlign w:val="center"/>
          </w:tcPr>
          <w:p w14:paraId="3A4CBE72">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服务</w:t>
            </w:r>
          </w:p>
          <w:p w14:paraId="0812FE3C">
            <w:pPr>
              <w:keepNext w:val="0"/>
              <w:keepLines w:val="0"/>
              <w:pageBreakBefore w:val="0"/>
              <w:widowControl w:val="0"/>
              <w:kinsoku/>
              <w:wordWrap w:val="0"/>
              <w:overflowPunct/>
              <w:topLinePunct/>
              <w:autoSpaceDE/>
              <w:autoSpaceDN/>
              <w:bidi w:val="0"/>
              <w:adjustRightInd/>
              <w:snapToGrid/>
              <w:spacing w:line="324" w:lineRule="auto"/>
              <w:jc w:val="center"/>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认可</w:t>
            </w:r>
          </w:p>
        </w:tc>
        <w:tc>
          <w:tcPr>
            <w:tcW w:w="840" w:type="dxa"/>
            <w:vMerge w:val="restart"/>
            <w:vAlign w:val="center"/>
          </w:tcPr>
          <w:p w14:paraId="4962C863">
            <w:pPr>
              <w:keepNext w:val="0"/>
              <w:keepLines w:val="0"/>
              <w:pageBreakBefore w:val="0"/>
              <w:widowControl w:val="0"/>
              <w:kinsoku/>
              <w:wordWrap w:val="0"/>
              <w:overflowPunct/>
              <w:topLinePunct/>
              <w:autoSpaceDE/>
              <w:autoSpaceDN/>
              <w:bidi w:val="0"/>
              <w:adjustRightInd/>
              <w:snapToGrid/>
              <w:spacing w:line="324" w:lineRule="auto"/>
              <w:ind w:firstLine="220" w:firstLineChars="100"/>
              <w:textAlignment w:val="auto"/>
              <w:rPr>
                <w:rFonts w:hint="eastAsia" w:ascii="宋体" w:hAnsi="宋体" w:eastAsia="宋体" w:cs="宋体"/>
                <w:sz w:val="22"/>
                <w:szCs w:val="22"/>
                <w:lang w:val="zh-CN" w:eastAsia="zh-CN"/>
              </w:rPr>
            </w:pPr>
            <w:r>
              <w:rPr>
                <w:rFonts w:hint="eastAsia" w:ascii="宋体" w:hAnsi="宋体" w:eastAsia="宋体" w:cs="宋体"/>
                <w:sz w:val="22"/>
                <w:szCs w:val="22"/>
                <w:lang w:val="en-US" w:eastAsia="zh-CN"/>
              </w:rPr>
              <w:t>2</w:t>
            </w:r>
          </w:p>
        </w:tc>
        <w:tc>
          <w:tcPr>
            <w:tcW w:w="4755" w:type="dxa"/>
            <w:vAlign w:val="center"/>
          </w:tcPr>
          <w:p w14:paraId="502CB556">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每次</w:t>
            </w:r>
            <w:r>
              <w:rPr>
                <w:rFonts w:hint="eastAsia" w:ascii="宋体" w:hAnsi="宋体" w:eastAsia="宋体" w:cs="宋体"/>
                <w:sz w:val="22"/>
                <w:szCs w:val="22"/>
                <w:lang w:val="en-US" w:eastAsia="zh-CN"/>
              </w:rPr>
              <w:t>2</w:t>
            </w:r>
            <w:r>
              <w:rPr>
                <w:rFonts w:hint="eastAsia" w:ascii="宋体" w:hAnsi="宋体" w:eastAsia="宋体" w:cs="宋体"/>
                <w:sz w:val="22"/>
                <w:szCs w:val="22"/>
                <w:lang w:val="zh-CN"/>
              </w:rPr>
              <w:t>分</w:t>
            </w:r>
          </w:p>
        </w:tc>
      </w:tr>
      <w:tr w14:paraId="41A8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70" w:type="dxa"/>
            <w:vMerge w:val="continue"/>
            <w:vAlign w:val="center"/>
          </w:tcPr>
          <w:p w14:paraId="19C001A7">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970" w:type="dxa"/>
            <w:vMerge w:val="continue"/>
            <w:vAlign w:val="center"/>
          </w:tcPr>
          <w:p w14:paraId="6BC3CF9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1140" w:type="dxa"/>
            <w:vMerge w:val="continue"/>
            <w:vAlign w:val="center"/>
          </w:tcPr>
          <w:p w14:paraId="3FD7B7F5">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840" w:type="dxa"/>
            <w:vMerge w:val="continue"/>
            <w:vAlign w:val="center"/>
          </w:tcPr>
          <w:p w14:paraId="5B588B9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p>
        </w:tc>
        <w:tc>
          <w:tcPr>
            <w:tcW w:w="4755" w:type="dxa"/>
            <w:vAlign w:val="center"/>
          </w:tcPr>
          <w:p w14:paraId="10317346">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rPr>
              <w:t>乙</w:t>
            </w:r>
            <w:r>
              <w:rPr>
                <w:rFonts w:hint="eastAsia" w:ascii="宋体" w:hAnsi="宋体" w:eastAsia="宋体" w:cs="宋体"/>
                <w:sz w:val="22"/>
                <w:szCs w:val="22"/>
                <w:lang w:val="zh-CN"/>
              </w:rPr>
              <w:t>方完成服务质量良好，服务发现关键、重要问题，对</w:t>
            </w:r>
            <w:r>
              <w:rPr>
                <w:rFonts w:hint="eastAsia" w:ascii="宋体" w:hAnsi="宋体" w:eastAsia="宋体" w:cs="宋体"/>
                <w:sz w:val="22"/>
                <w:szCs w:val="22"/>
              </w:rPr>
              <w:t>甲方</w:t>
            </w:r>
            <w:r>
              <w:rPr>
                <w:rFonts w:hint="eastAsia" w:ascii="宋体" w:hAnsi="宋体" w:eastAsia="宋体" w:cs="宋体"/>
                <w:sz w:val="22"/>
                <w:szCs w:val="22"/>
                <w:lang w:val="zh-CN"/>
              </w:rPr>
              <w:t>起到正向积极作用，经</w:t>
            </w:r>
            <w:r>
              <w:rPr>
                <w:rFonts w:hint="eastAsia" w:ascii="宋体" w:hAnsi="宋体" w:eastAsia="宋体" w:cs="宋体"/>
                <w:sz w:val="22"/>
                <w:szCs w:val="22"/>
              </w:rPr>
              <w:t>甲方</w:t>
            </w:r>
            <w:r>
              <w:rPr>
                <w:rFonts w:hint="eastAsia" w:ascii="宋体" w:hAnsi="宋体" w:eastAsia="宋体" w:cs="宋体"/>
                <w:sz w:val="22"/>
                <w:szCs w:val="22"/>
                <w:lang w:val="zh-CN"/>
              </w:rPr>
              <w:t>认可后可加分，每次增加</w:t>
            </w:r>
            <w:r>
              <w:rPr>
                <w:rFonts w:hint="eastAsia" w:ascii="宋体" w:hAnsi="宋体" w:eastAsia="宋体" w:cs="宋体"/>
                <w:sz w:val="22"/>
                <w:szCs w:val="22"/>
                <w:lang w:val="en-US" w:eastAsia="zh-CN"/>
              </w:rPr>
              <w:t>2</w:t>
            </w:r>
            <w:r>
              <w:rPr>
                <w:rFonts w:hint="eastAsia" w:ascii="宋体" w:hAnsi="宋体" w:eastAsia="宋体" w:cs="宋体"/>
                <w:sz w:val="22"/>
                <w:szCs w:val="22"/>
                <w:lang w:val="zh-CN"/>
              </w:rPr>
              <w:t>分。</w:t>
            </w:r>
          </w:p>
        </w:tc>
      </w:tr>
      <w:tr w14:paraId="2586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80" w:type="dxa"/>
            <w:gridSpan w:val="3"/>
            <w:vAlign w:val="center"/>
          </w:tcPr>
          <w:p w14:paraId="3D265570">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总分（各项得分相加）</w:t>
            </w:r>
          </w:p>
        </w:tc>
        <w:tc>
          <w:tcPr>
            <w:tcW w:w="840" w:type="dxa"/>
            <w:vAlign w:val="center"/>
          </w:tcPr>
          <w:p w14:paraId="38543341">
            <w:pPr>
              <w:keepNext w:val="0"/>
              <w:keepLines w:val="0"/>
              <w:pageBreakBefore w:val="0"/>
              <w:widowControl w:val="0"/>
              <w:kinsoku/>
              <w:wordWrap w:val="0"/>
              <w:overflowPunct/>
              <w:topLinePunct/>
              <w:autoSpaceDE/>
              <w:autoSpaceDN/>
              <w:bidi w:val="0"/>
              <w:adjustRightInd/>
              <w:snapToGrid/>
              <w:spacing w:line="324" w:lineRule="auto"/>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100</w:t>
            </w:r>
          </w:p>
        </w:tc>
        <w:tc>
          <w:tcPr>
            <w:tcW w:w="4755" w:type="dxa"/>
            <w:vAlign w:val="center"/>
          </w:tcPr>
          <w:p w14:paraId="7562C532">
            <w:pPr>
              <w:keepNext w:val="0"/>
              <w:keepLines w:val="0"/>
              <w:pageBreakBefore w:val="0"/>
              <w:widowControl w:val="0"/>
              <w:kinsoku/>
              <w:wordWrap w:val="0"/>
              <w:overflowPunct/>
              <w:topLinePunct/>
              <w:autoSpaceDE/>
              <w:autoSpaceDN/>
              <w:bidi w:val="0"/>
              <w:adjustRightInd/>
              <w:snapToGrid/>
              <w:spacing w:line="324" w:lineRule="auto"/>
              <w:ind w:firstLine="440" w:firstLineChars="200"/>
              <w:textAlignment w:val="auto"/>
              <w:rPr>
                <w:rFonts w:hint="eastAsia" w:ascii="宋体" w:hAnsi="宋体" w:eastAsia="宋体" w:cs="宋体"/>
                <w:sz w:val="22"/>
                <w:szCs w:val="22"/>
                <w:lang w:val="zh-CN"/>
              </w:rPr>
            </w:pPr>
            <w:r>
              <w:rPr>
                <w:rFonts w:hint="eastAsia" w:ascii="宋体" w:hAnsi="宋体" w:eastAsia="宋体" w:cs="宋体"/>
                <w:sz w:val="22"/>
                <w:szCs w:val="22"/>
                <w:lang w:val="zh-CN"/>
              </w:rPr>
              <w:t>满分100分</w:t>
            </w:r>
          </w:p>
        </w:tc>
      </w:tr>
    </w:tbl>
    <w:p w14:paraId="06E7808C">
      <w:pPr>
        <w:rPr>
          <w:rFonts w:hint="eastAsia"/>
        </w:rPr>
      </w:pPr>
    </w:p>
    <w:p w14:paraId="2F890455">
      <w:pPr>
        <w:rPr>
          <w:rFonts w:hint="eastAsia"/>
        </w:rPr>
      </w:pPr>
    </w:p>
    <w:sectPr>
      <w:pgSz w:w="11906" w:h="16838"/>
      <w:pgMar w:top="1270" w:right="1689" w:bottom="1327"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0F59CC"/>
    <w:multiLevelType w:val="singleLevel"/>
    <w:tmpl w:val="210F59CC"/>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OGU5YTlhYTBiMWJiMGViNmNkNjFiMTM1NTNiN2EifQ=="/>
  </w:docVars>
  <w:rsids>
    <w:rsidRoot w:val="7D070235"/>
    <w:rsid w:val="022514DB"/>
    <w:rsid w:val="02400369"/>
    <w:rsid w:val="045F303F"/>
    <w:rsid w:val="06AE3E0A"/>
    <w:rsid w:val="08AE6343"/>
    <w:rsid w:val="0DC363ED"/>
    <w:rsid w:val="0E1B7FD7"/>
    <w:rsid w:val="0E215936"/>
    <w:rsid w:val="0F1D7E71"/>
    <w:rsid w:val="16595B5F"/>
    <w:rsid w:val="19F31E08"/>
    <w:rsid w:val="1C8054A9"/>
    <w:rsid w:val="21FC7CC7"/>
    <w:rsid w:val="246F4781"/>
    <w:rsid w:val="2BF122DB"/>
    <w:rsid w:val="2D2C57E2"/>
    <w:rsid w:val="2D3234E5"/>
    <w:rsid w:val="2FD302BA"/>
    <w:rsid w:val="30A40051"/>
    <w:rsid w:val="33995376"/>
    <w:rsid w:val="36560210"/>
    <w:rsid w:val="4214206C"/>
    <w:rsid w:val="47C152AC"/>
    <w:rsid w:val="4AE7656F"/>
    <w:rsid w:val="53164407"/>
    <w:rsid w:val="5F4B7D0C"/>
    <w:rsid w:val="67696832"/>
    <w:rsid w:val="6974326C"/>
    <w:rsid w:val="7D070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560" w:lineRule="exact"/>
      <w:jc w:val="both"/>
    </w:pPr>
    <w:rPr>
      <w:rFonts w:ascii="Times New Roman" w:hAnsi="Times New Roman" w:eastAsia="方正仿宋_GB2312" w:cstheme="minorBidi"/>
      <w:kern w:val="2"/>
      <w:sz w:val="32"/>
      <w:szCs w:val="24"/>
      <w:lang w:val="en-US" w:eastAsia="zh-CN" w:bidi="ar-SA"/>
    </w:rPr>
  </w:style>
  <w:style w:type="paragraph" w:styleId="3">
    <w:name w:val="heading 1"/>
    <w:basedOn w:val="1"/>
    <w:next w:val="1"/>
    <w:qFormat/>
    <w:uiPriority w:val="1"/>
    <w:pPr>
      <w:ind w:left="3696"/>
      <w:outlineLvl w:val="1"/>
    </w:pPr>
    <w:rPr>
      <w:rFonts w:ascii="宋体" w:hAnsi="宋体" w:eastAsia="宋体"/>
      <w:sz w:val="31"/>
      <w:szCs w:val="31"/>
    </w:rPr>
  </w:style>
  <w:style w:type="paragraph" w:styleId="4">
    <w:name w:val="heading 2"/>
    <w:basedOn w:val="1"/>
    <w:next w:val="1"/>
    <w:qFormat/>
    <w:uiPriority w:val="9"/>
    <w:pPr>
      <w:spacing w:line="560" w:lineRule="exact"/>
      <w:ind w:firstLine="640" w:firstLineChars="200"/>
      <w:jc w:val="both"/>
      <w:outlineLvl w:val="1"/>
    </w:pPr>
    <w:rPr>
      <w:rFonts w:ascii="楷体" w:hAnsi="楷体" w:eastAsia="黑体"/>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Body Text 3"/>
    <w:basedOn w:val="1"/>
    <w:qFormat/>
    <w:uiPriority w:val="0"/>
    <w:pPr>
      <w:spacing w:after="120"/>
    </w:pPr>
    <w:rPr>
      <w:sz w:val="16"/>
      <w:szCs w:val="16"/>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Body Text First Indent"/>
    <w:basedOn w:val="2"/>
    <w:qFormat/>
    <w:uiPriority w:val="0"/>
    <w:pPr>
      <w:ind w:firstLine="420" w:firstLineChars="100"/>
    </w:pPr>
  </w:style>
  <w:style w:type="paragraph" w:customStyle="1" w:styleId="11">
    <w:name w:val="样式1 "/>
    <w:basedOn w:val="1"/>
    <w:qFormat/>
    <w:uiPriority w:val="0"/>
    <w:pPr>
      <w:widowControl w:val="0"/>
      <w:kinsoku/>
      <w:autoSpaceDE/>
      <w:autoSpaceDN/>
      <w:adjustRightInd/>
      <w:snapToGrid/>
      <w:spacing w:line="560" w:lineRule="exact"/>
      <w:jc w:val="center"/>
      <w:textAlignment w:val="auto"/>
      <w:outlineLvl w:val="9"/>
    </w:pPr>
    <w:rPr>
      <w:rFonts w:hint="eastAsia" w:ascii="Times New Roman" w:hAnsi="Times New Roman" w:eastAsia="宋体" w:cs="Arial"/>
      <w:b/>
      <w:bCs/>
      <w:snapToGrid w:val="0"/>
      <w:color w:val="000000"/>
      <w:kern w:val="0"/>
      <w:sz w:val="44"/>
      <w:szCs w:val="32"/>
    </w:r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table" w:customStyle="1" w:styleId="1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1898</Words>
  <Characters>1934</Characters>
  <Lines>0</Lines>
  <Paragraphs>0</Paragraphs>
  <TotalTime>3</TotalTime>
  <ScaleCrop>false</ScaleCrop>
  <LinksUpToDate>false</LinksUpToDate>
  <CharactersWithSpaces>2149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2024-07-17T10:32:00Z</dcterms:created>
  <dc:creator>晶.</dc:creator>
  <cp:lastModifiedBy>河北首富花少北</cp:lastModifiedBy>
  <dcterms:modified xsi:type="dcterms:W3CDTF">2025-08-13T08:30:20Z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7BF6566F7B6845009DA17FC97F7CDC6E_11</vt:lpwstr>
  </property>
  <property fmtid="{D5CDD505-2E9C-101B-9397-08002B2CF9AE}" pid="4" name="KSOTemplateDocerSaveRecord">
    <vt:lpwstr>eyJoZGlkIjoiYmI5OGE3NmIxMjM4ZGUyM2Q0NWMzMTBhZmZiYTlhYTYiLCJ1c2VySWQiOiI5NTY0ODY2NTAifQ==</vt:lpwstr>
  </property>
</Properties>
</file>