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版本号：LZBE2025-1444（XDZ2025-241-N-152）20250818001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玩教具采购项目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LZBE2025-1444（XDZ2025-241-N-152）</w:t>
      </w:r>
      <w:r>
        <w:br/>
      </w:r>
      <w:r>
        <w:br/>
      </w:r>
      <w:r>
        <w:br/>
      </w:r>
    </w:p>
    <w:p>
      <w:pPr>
        <w:pStyle w:val="null3"/>
        <w:jc w:val="center"/>
        <w:outlineLvl w:val="2"/>
      </w:pPr>
      <w:r>
        <w:rPr>
          <w:rFonts w:ascii="仿宋_GB2312" w:hAnsi="仿宋_GB2312" w:cs="仿宋_GB2312" w:eastAsia="仿宋_GB2312"/>
          <w:sz w:val="28"/>
          <w:b/>
        </w:rPr>
        <w:t>西安高新区第六十二幼儿园</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西安高新区第六十二幼儿园</w:t>
      </w:r>
      <w:r>
        <w:rPr>
          <w:rFonts w:ascii="仿宋_GB2312" w:hAnsi="仿宋_GB2312" w:cs="仿宋_GB2312" w:eastAsia="仿宋_GB2312"/>
        </w:rPr>
        <w:t>委托，拟对</w:t>
      </w:r>
      <w:r>
        <w:rPr>
          <w:rFonts w:ascii="仿宋_GB2312" w:hAnsi="仿宋_GB2312" w:cs="仿宋_GB2312" w:eastAsia="仿宋_GB2312"/>
        </w:rPr>
        <w:t>玩教具采购项目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LZBE2025-1444（XDZ2025-241-N-152）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玩教具采购项目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本项目拟对玩教具采购项目1批进行采购，具体详见采购文件。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采购包1（玩教具采购项目）：属于专门面向中小企业采购。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p>
      <w:pPr>
        <w:pStyle w:val="null3"/>
      </w:pPr>
      <w:r>
        <w:rPr>
          <w:rFonts w:ascii="仿宋_GB2312" w:hAnsi="仿宋_GB2312" w:cs="仿宋_GB2312" w:eastAsia="仿宋_GB2312"/>
        </w:rPr>
        <w:t>3、财务状况：财务状况：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具有履行合同所必需的设备和专业技术能力书面声明函；或提供《基本资格条件承诺函》；供应商需在项目电子化交易系统中按要求上传相应证明文件并进行电子签章</w:t>
      </w:r>
    </w:p>
    <w:p>
      <w:pPr>
        <w:pStyle w:val="null3"/>
      </w:pPr>
      <w:r>
        <w:rPr>
          <w:rFonts w:ascii="仿宋_GB2312" w:hAnsi="仿宋_GB2312" w:cs="仿宋_GB2312" w:eastAsia="仿宋_GB2312"/>
        </w:rPr>
        <w:t>6、供应商信用状况：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递交截止时间后的网站查询记录为准；或提供《基本资格条件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西安高新区第六十二幼儿园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西安高新区大吉一路以东西安高新区第六十二幼儿园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029-89251761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采购包1：348,598.00元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中货物类的收费标准计取。2、成交单位在领取成交通知书之前，须向采购代理机构支付招标代理服务费。3、招标代理服务费以转账或现金形式缴纳至以下账户：开户名称：龙寰项目管理咨询有限公司 开户银行：平安银行西安高新路支行 账 号：30201278017355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西安高新区第六十二幼儿园</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西安高新区第六十二幼儿园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分包履行的内容：本项目允许依法分包，采取分包方式履行合同。分包范围为采购内容中保健室所需货物，分包比例约占合同额的4%，所投产品属于医疗器械管理范围的，分包供应商需提供有效的医疗器械经营许可证或医疗器械经营备案凭证；所投产品属于医疗器械管理范围的，需提供医疗器械注册证或备案凭证；所投产品属于医疗器械管理范围的，需提供产品制造商的医疗器械生产许可证或医疗器械生产备案凭证；且分包供应商不得再次分包。中标供应商就采购项目和分包项目向采购人负责，分包供应商就分包项目承担责任；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3、磋商文件、响应文件、澄清表（函）。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本项目拟对玩教具采购项目1批进行采购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348,598.00</w:t>
      </w:r>
    </w:p>
    <w:p>
      <w:pPr>
        <w:pStyle w:val="null3"/>
      </w:pPr>
      <w:r>
        <w:rPr>
          <w:rFonts w:ascii="仿宋_GB2312" w:hAnsi="仿宋_GB2312" w:cs="仿宋_GB2312" w:eastAsia="仿宋_GB2312"/>
        </w:rPr>
        <w:t>采购包最高限价（元）: 348,598.00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幼儿园玩教具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348,598.00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标的名称：幼儿园玩教具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拟采购玩教具1批，</w:t>
            </w:r>
            <w:r>
              <w:rPr>
                <w:rFonts w:ascii="仿宋_GB2312" w:hAnsi="仿宋_GB2312" w:cs="仿宋_GB2312" w:eastAsia="仿宋_GB2312"/>
              </w:rPr>
              <w:t>具体采购需求详见竞争性磋商响应文件附件。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合同签订后，乙方须按其响应文件中响应的时限按时完成本项目并提供全额合规发票，到达甲方指定地点，安装、调试完毕。经甲方验收合格后，向乙方支付合同价款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质保期：至少2年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（一）按《中华人民共和国政府采购法》、《中华人民共和国民法典》中的相关条款执行。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户外大型玩具。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为顺利推进政府采购电子化交易平台应用工作，供应商需要在线提交所有通过电子化交易平台实施的政府采购项目的响应文件，同时，线下提交纸质响应文件正本一份、副本一份、电子版一份（U盘壹份，电子版文件需为上传至系统后签字盖章的PDF版文件），具体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三、相关资格证明资料.docx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三、相关资格证明资料.docx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具有履行合同所必需的设备和专业技术能力书面声明函；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递交截止时间后的网站查询记录为准；或提供《基本资格条件承诺函》；</w:t>
            </w:r>
          </w:p>
        </w:tc>
        <w:tc>
          <w:tcPr>
            <w:tcW w:type="dxa" w:w="1661"/>
          </w:tcPr>
          <w:p>
            <w:pPr>
              <w:pStyle w:val="null3"/>
            </w:pPr>
            <w:r>
              <w:rPr>
                <w:rFonts w:ascii="仿宋_GB2312" w:hAnsi="仿宋_GB2312" w:cs="仿宋_GB2312" w:eastAsia="仿宋_GB2312"/>
              </w:rPr>
              <w:t>三、相关资格证明资料.docx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一、磋商响应第一次报价表及分项报价表.docx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 三、相关资格证明资料.docx 响应函 五、承诺书.docx 二、授权委托书.docx 四、技术及商务响应.docx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二、授权委托书.docx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 三、相关资格证明资料.docx 响应函 五、承诺书.docx 二、授权委托书.docx 四、技术及商务响应.docx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完全满足磋商文件要求得20分，技术指标有1项负偏离扣0.5分，扣完为止。供应商须提供相关技术指标证明材料予以佐证。证明材料不限于检测报告、试验报告、产品彩页、厂家出具的技术证明文件、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产品配置齐全、选型合理、规格描述详细、技术工艺先进，各部分功能配置合理实用、性能稳定，能够实现建设目标，满足项目需求，得6分；产品配置齐全、选型较合理、规格描述较详细，各部分功能配置较合理，能够实现建设目标，得5分；产品配置齐全、选型基本合理、规格描述基本详细，各部分功能配置基本合理，基本能够实现建设目标，得4分；产品配置齐全、选型不够合理、规格描述不够详细，得3分；产品配置齐全、未进行规格描述得2分；产品配置不齐全或无法实现建设目标，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供货、配送、安装、调试方案</w:t>
            </w:r>
          </w:p>
        </w:tc>
        <w:tc>
          <w:tcPr>
            <w:tcW w:type="dxa" w:w="2492"/>
          </w:tcPr>
          <w:p>
            <w:pPr>
              <w:pStyle w:val="null3"/>
            </w:pPr>
            <w:r>
              <w:rPr>
                <w:rFonts w:ascii="仿宋_GB2312" w:hAnsi="仿宋_GB2312" w:cs="仿宋_GB2312" w:eastAsia="仿宋_GB2312"/>
              </w:rPr>
              <w:t>提供针对本项目的供货、配送、安装、调试方案。 方案全面完整，针对性强，合理可行、可操作性强，完全满足项目实际需求，得7分；方案较全面完整，针对性较强，合理可行、可操作性较强，满足项目实际需求得6分；方案完整，针对性不强，基本合理可行，得5分；方案不够全面完整，没有针对性，得4分；提供方案，方案不可行，得2分；未提供此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产品测试、验收措施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7分；措施内容能够针对本项目编制，符合项目实际情况及实施要求，内容涵盖角度基本全面，得6分；措施内容基本能够针对本项目编制，基本符合项目实际情况及实施要求，内容涵盖角度略有不全，针对性不强，得5分；具有措施内容，措施内容涵盖角度不全面具备一定可行性，不具备针对性，得4分；具有措施内容但内容未针对本项目，内容空洞宽泛，不具有可行性，得2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进度计划及人员配备</w:t>
            </w:r>
          </w:p>
        </w:tc>
        <w:tc>
          <w:tcPr>
            <w:tcW w:type="dxa" w:w="2492"/>
          </w:tcPr>
          <w:p>
            <w:pPr>
              <w:pStyle w:val="null3"/>
            </w:pPr>
            <w:r>
              <w:rPr>
                <w:rFonts w:ascii="仿宋_GB2312" w:hAnsi="仿宋_GB2312" w:cs="仿宋_GB2312" w:eastAsia="仿宋_GB2312"/>
              </w:rPr>
              <w:t>供应商提供明确具体的供货（施工）时间、供货（施工）进度计划、到货计划、投入的技术人员专业情况、人员配置情况等方面内容，人员配备具体可行充分满足磋商文件要求的得7分；供应商提供的计划及人员配备情况内容基本、进度计划略有拖拉、人员配备略有缺失，基本能够满足需求的得5分；供应商提供的计划及人员配备内容缺失严重，计划内容空洞不符合实际情况人员配备情况难以胜任本项目的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三、相关资格证明资料.docx</w:t>
            </w:r>
          </w:p>
        </w:tc>
      </w:tr>
      <w:tr>
        <w:tc>
          <w:tcPr>
            <w:tcW w:type="dxa" w:w="831"/>
            <w:vMerge/>
          </w:tcPr>
          <w:p/>
        </w:tc>
        <w:tc>
          <w:tcPr>
            <w:tcW w:type="dxa" w:w="1661"/>
          </w:tcPr>
          <w:p>
            <w:pPr>
              <w:pStyle w:val="null3"/>
            </w:pPr>
            <w:r>
              <w:rPr>
                <w:rFonts w:ascii="仿宋_GB2312" w:hAnsi="仿宋_GB2312" w:cs="仿宋_GB2312" w:eastAsia="仿宋_GB2312"/>
              </w:rPr>
              <w:t>产品渠道及质量保障</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产品的技术证明材料完整、来源渠道正规、质量保证措施完善，质保期限满足或长于文件要求，得6分；产品的技术证明材料基本完整、来源渠道证明文件不完整、质量保证措施略有缺失，得4分；产品技术证明材料不全或质量保证措施不完善，没有针对性，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三、相关资格证明资料.docx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可行的售后服务计划、售后服务措施、服务承诺等内容。售后服务计划、售后服务措施、服务承诺全面详细，合理可行、可操作性强，完全满足项目实施需求，得7分；售后服务计划、售后服务措施、服务承诺较详细，较合理可行、可操作性较强，满足项目实施需求，得6分；售后服务计划、售后服务措施、服务承诺基本全面可行、具有一定可操作性，得5分；售后服务计划、售后服务措施、服务承诺不够全面详细，可操作性不强，得4分；提供可行的售后服务计划、售后服务措施、服务承诺等内容但未贴合实际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三、相关资格证明资料.docx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方案中风险故障考虑全面，故障发生后响应时间及时、补救方案合理可行、可操作性强，完全可以保障设备的使用需求，得7分；方案中风险故障考虑较全面，故障发生后响应时间及时、补救方案较为合理可行、可操作性较强，得6分；方案中风险故障考虑不够全面，故障发生后能够响应补救但有一定延迟，得5分；方案中风险故障考虑不够全面，故障发生后响应时间不及时得4分；提供应急预案但未贴合实际情况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提供供应商自2022年1月1日起至今类似项目业绩，业绩以合同为准。（时间以签订的合同日期为准）,每份计1分,最高得3分。注：合同内容须清晰可辨认，否则视为无效合同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三、相关资格证明资料.docx</w:t>
            </w:r>
          </w:p>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一、磋商响应第一次报价表及分项报价表.docx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详见附件：一、磋商响应第一次报价表及分项报价表.docx</w:t>
      </w:r>
    </w:p>
    <w:p>
      <w:pPr>
        <w:pStyle w:val="null3"/>
        <w:ind w:firstLine="960"/>
      </w:pPr>
      <w:r>
        <w:rPr>
          <w:rFonts w:ascii="仿宋_GB2312" w:hAnsi="仿宋_GB2312" w:cs="仿宋_GB2312" w:eastAsia="仿宋_GB2312"/>
        </w:rPr>
        <w:t>详见附件：二、授权委托书.docx</w:t>
      </w:r>
    </w:p>
    <w:p>
      <w:pPr>
        <w:pStyle w:val="null3"/>
        <w:ind w:firstLine="960"/>
      </w:pPr>
      <w:r>
        <w:rPr>
          <w:rFonts w:ascii="仿宋_GB2312" w:hAnsi="仿宋_GB2312" w:cs="仿宋_GB2312" w:eastAsia="仿宋_GB2312"/>
        </w:rPr>
        <w:t>详见附件：三、相关资格证明资料.docx</w:t>
      </w:r>
    </w:p>
    <w:p>
      <w:pPr>
        <w:pStyle w:val="null3"/>
        <w:ind w:firstLine="960"/>
      </w:pPr>
      <w:r>
        <w:rPr>
          <w:rFonts w:ascii="仿宋_GB2312" w:hAnsi="仿宋_GB2312" w:cs="仿宋_GB2312" w:eastAsia="仿宋_GB2312"/>
        </w:rPr>
        <w:t>详见附件：四、技术及商务响应.docx</w:t>
      </w:r>
    </w:p>
    <w:p>
      <w:pPr>
        <w:pStyle w:val="null3"/>
        <w:ind w:firstLine="960"/>
      </w:pPr>
      <w:r>
        <w:rPr>
          <w:rFonts w:ascii="仿宋_GB2312" w:hAnsi="仿宋_GB2312" w:cs="仿宋_GB2312" w:eastAsia="仿宋_GB2312"/>
        </w:rPr>
        <w:t>详见附件：五、承诺书.docx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