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B9CCE3">
      <w:pPr>
        <w:spacing w:line="900" w:lineRule="exact"/>
        <w:jc w:val="center"/>
        <w:rPr>
          <w:b/>
          <w:sz w:val="44"/>
          <w:szCs w:val="44"/>
        </w:rPr>
      </w:pPr>
      <w:r>
        <w:rPr>
          <w:rFonts w:hint="eastAsia" w:cs="Times New Roman"/>
          <w:b/>
          <w:sz w:val="44"/>
          <w:szCs w:val="44"/>
          <w:lang w:eastAsia="zh-CN"/>
        </w:rPr>
        <w:t>采购</w:t>
      </w:r>
      <w:r>
        <w:rPr>
          <w:b/>
          <w:sz w:val="44"/>
          <w:szCs w:val="44"/>
        </w:rPr>
        <w:t>合同</w:t>
      </w:r>
    </w:p>
    <w:p w14:paraId="749E3DBC">
      <w:pPr>
        <w:spacing w:line="360" w:lineRule="auto"/>
        <w:jc w:val="center"/>
        <w:rPr>
          <w:kern w:val="0"/>
        </w:rPr>
      </w:pPr>
    </w:p>
    <w:p w14:paraId="58FADDCE">
      <w:pPr>
        <w:spacing w:line="360" w:lineRule="auto"/>
        <w:rPr>
          <w:kern w:val="0"/>
        </w:rPr>
      </w:pPr>
    </w:p>
    <w:p w14:paraId="4A985886">
      <w:pPr>
        <w:spacing w:line="360" w:lineRule="auto"/>
        <w:rPr>
          <w:kern w:val="0"/>
        </w:rPr>
      </w:pPr>
    </w:p>
    <w:p w14:paraId="40762949">
      <w:pPr>
        <w:spacing w:line="360" w:lineRule="auto"/>
        <w:rPr>
          <w:kern w:val="0"/>
        </w:rPr>
      </w:pPr>
    </w:p>
    <w:p w14:paraId="3F1EB59C">
      <w:pPr>
        <w:spacing w:line="360" w:lineRule="auto"/>
        <w:rPr>
          <w:kern w:val="0"/>
        </w:rPr>
      </w:pPr>
    </w:p>
    <w:p w14:paraId="5B90E403">
      <w:pPr>
        <w:spacing w:line="360" w:lineRule="auto"/>
        <w:rPr>
          <w:kern w:val="0"/>
        </w:rPr>
      </w:pPr>
    </w:p>
    <w:p w14:paraId="32EDC8AC">
      <w:pPr>
        <w:spacing w:line="360" w:lineRule="auto"/>
        <w:rPr>
          <w:b/>
          <w:bCs/>
          <w:kern w:val="0"/>
        </w:rPr>
      </w:pPr>
    </w:p>
    <w:p w14:paraId="63688938">
      <w:pPr>
        <w:spacing w:line="360" w:lineRule="auto"/>
        <w:rPr>
          <w:b/>
          <w:bCs/>
          <w:kern w:val="0"/>
        </w:rPr>
      </w:pPr>
    </w:p>
    <w:p w14:paraId="61E771BE">
      <w:pPr>
        <w:spacing w:line="360" w:lineRule="auto"/>
        <w:jc w:val="left"/>
        <w:rPr>
          <w:b/>
          <w:bCs/>
          <w:kern w:val="0"/>
        </w:rPr>
      </w:pPr>
    </w:p>
    <w:p w14:paraId="5AAC2276">
      <w:pPr>
        <w:spacing w:line="360" w:lineRule="auto"/>
        <w:jc w:val="left"/>
        <w:rPr>
          <w:sz w:val="28"/>
          <w:szCs w:val="28"/>
        </w:rPr>
      </w:pPr>
    </w:p>
    <w:p w14:paraId="5A66E040">
      <w:pPr>
        <w:spacing w:line="360" w:lineRule="auto"/>
        <w:ind w:firstLine="560" w:firstLineChars="200"/>
        <w:jc w:val="left"/>
        <w:rPr>
          <w:sz w:val="28"/>
          <w:szCs w:val="28"/>
        </w:rPr>
      </w:pPr>
    </w:p>
    <w:p w14:paraId="70450EB6">
      <w:pPr>
        <w:spacing w:line="360" w:lineRule="auto"/>
        <w:ind w:firstLine="560" w:firstLineChars="200"/>
        <w:jc w:val="left"/>
        <w:rPr>
          <w:sz w:val="28"/>
          <w:szCs w:val="28"/>
        </w:rPr>
      </w:pPr>
      <w:r>
        <w:rPr>
          <w:sz w:val="28"/>
          <w:szCs w:val="28"/>
        </w:rPr>
        <w:t>项目名称:</w:t>
      </w:r>
    </w:p>
    <w:p w14:paraId="60CA3EE6">
      <w:pPr>
        <w:spacing w:line="360" w:lineRule="auto"/>
        <w:ind w:firstLine="560" w:firstLineChars="200"/>
        <w:jc w:val="left"/>
        <w:rPr>
          <w:sz w:val="28"/>
          <w:szCs w:val="28"/>
        </w:rPr>
      </w:pPr>
      <w:r>
        <w:rPr>
          <w:sz w:val="28"/>
          <w:szCs w:val="28"/>
        </w:rPr>
        <w:t>委托方(甲方):</w:t>
      </w:r>
    </w:p>
    <w:p w14:paraId="7AD13F54">
      <w:pPr>
        <w:spacing w:line="360" w:lineRule="auto"/>
        <w:ind w:firstLine="560" w:firstLineChars="200"/>
        <w:jc w:val="left"/>
        <w:rPr>
          <w:sz w:val="28"/>
          <w:szCs w:val="28"/>
        </w:rPr>
      </w:pPr>
      <w:r>
        <w:rPr>
          <w:sz w:val="28"/>
          <w:szCs w:val="28"/>
        </w:rPr>
        <w:t>受托方(乙方):</w:t>
      </w:r>
    </w:p>
    <w:p w14:paraId="2E86700A">
      <w:pPr>
        <w:spacing w:line="360" w:lineRule="auto"/>
        <w:jc w:val="left"/>
        <w:rPr>
          <w:kern w:val="0"/>
        </w:rPr>
      </w:pPr>
    </w:p>
    <w:p w14:paraId="6F1F933B">
      <w:pPr>
        <w:spacing w:line="360" w:lineRule="auto"/>
        <w:jc w:val="center"/>
        <w:rPr>
          <w:kern w:val="0"/>
          <w:sz w:val="28"/>
          <w:szCs w:val="28"/>
        </w:rPr>
      </w:pPr>
      <w:r>
        <w:rPr>
          <w:kern w:val="0"/>
          <w:sz w:val="28"/>
          <w:szCs w:val="28"/>
        </w:rPr>
        <w:t>二〇</w:t>
      </w:r>
      <w:r>
        <w:rPr>
          <w:rFonts w:hint="eastAsia"/>
          <w:kern w:val="0"/>
          <w:sz w:val="28"/>
          <w:szCs w:val="28"/>
        </w:rPr>
        <w:t>二</w:t>
      </w:r>
      <w:r>
        <w:rPr>
          <w:rFonts w:hint="eastAsia"/>
          <w:kern w:val="0"/>
          <w:sz w:val="28"/>
          <w:szCs w:val="28"/>
          <w:lang w:eastAsia="zh-CN"/>
        </w:rPr>
        <w:t>五</w:t>
      </w:r>
      <w:r>
        <w:rPr>
          <w:kern w:val="0"/>
          <w:sz w:val="28"/>
          <w:szCs w:val="28"/>
        </w:rPr>
        <w:t>年</w:t>
      </w:r>
      <w:r>
        <w:rPr>
          <w:rFonts w:hint="eastAsia"/>
          <w:kern w:val="0"/>
          <w:sz w:val="28"/>
          <w:szCs w:val="28"/>
          <w:lang w:val="en-US" w:eastAsia="zh-CN"/>
        </w:rPr>
        <w:t xml:space="preserve">  </w:t>
      </w:r>
      <w:r>
        <w:rPr>
          <w:kern w:val="0"/>
          <w:sz w:val="28"/>
          <w:szCs w:val="28"/>
        </w:rPr>
        <w:t>月</w:t>
      </w:r>
    </w:p>
    <w:p w14:paraId="2DBEC429">
      <w:pPr>
        <w:spacing w:line="360" w:lineRule="auto"/>
        <w:jc w:val="center"/>
        <w:rPr>
          <w:kern w:val="0"/>
          <w:sz w:val="28"/>
          <w:szCs w:val="28"/>
        </w:rPr>
        <w:sectPr>
          <w:pgSz w:w="11906" w:h="16838"/>
          <w:pgMar w:top="1440" w:right="1800" w:bottom="1440" w:left="1800" w:header="851" w:footer="992" w:gutter="0"/>
          <w:pgNumType w:fmt="decimal"/>
          <w:cols w:space="720" w:num="1"/>
          <w:docGrid w:type="lines" w:linePitch="312" w:charSpace="0"/>
        </w:sectPr>
      </w:pPr>
    </w:p>
    <w:p w14:paraId="2220348A">
      <w:pPr>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采购人（全称）：</w:t>
      </w:r>
    </w:p>
    <w:p w14:paraId="42DEFFA4">
      <w:pPr>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 xml:space="preserve">使用学校（全称）：    </w:t>
      </w:r>
    </w:p>
    <w:p w14:paraId="4EC738C8">
      <w:pPr>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r>
        <w:rPr>
          <w:rFonts w:hint="eastAsia" w:ascii="宋体" w:hAnsi="宋体" w:eastAsia="宋体" w:cs="宋体"/>
          <w:b/>
          <w:sz w:val="24"/>
          <w:szCs w:val="24"/>
          <w:highlight w:val="none"/>
        </w:rPr>
        <w:t xml:space="preserve">供应商（全称）： </w:t>
      </w:r>
      <w:r>
        <w:rPr>
          <w:rFonts w:hint="eastAsia" w:ascii="宋体" w:hAnsi="宋体" w:eastAsia="宋体" w:cs="宋体"/>
          <w:sz w:val="24"/>
          <w:szCs w:val="24"/>
          <w:highlight w:val="none"/>
        </w:rPr>
        <w:t xml:space="preserve">                          </w:t>
      </w:r>
      <w:r>
        <w:rPr>
          <w:rFonts w:hint="eastAsia" w:ascii="宋体" w:hAnsi="宋体" w:eastAsia="宋体" w:cs="宋体"/>
          <w:bCs/>
          <w:sz w:val="24"/>
          <w:szCs w:val="24"/>
          <w:highlight w:val="none"/>
        </w:rPr>
        <w:t xml:space="preserve">         </w:t>
      </w:r>
    </w:p>
    <w:p w14:paraId="22B68BD5">
      <w:pPr>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根据《中华人民共和国</w:t>
      </w:r>
      <w:r>
        <w:rPr>
          <w:rFonts w:hint="eastAsia" w:ascii="宋体" w:hAnsi="宋体" w:cs="宋体"/>
          <w:sz w:val="24"/>
          <w:szCs w:val="24"/>
          <w:highlight w:val="none"/>
          <w:lang w:eastAsia="zh-CN"/>
        </w:rPr>
        <w:t>民法典</w:t>
      </w:r>
      <w:r>
        <w:rPr>
          <w:rFonts w:hint="eastAsia" w:ascii="宋体" w:hAnsi="宋体" w:eastAsia="宋体" w:cs="宋体"/>
          <w:sz w:val="24"/>
          <w:szCs w:val="24"/>
          <w:highlight w:val="none"/>
        </w:rPr>
        <w:t>》及其他有关法律、法规，遵循平等、自愿、公平和诚信的原则，双方就下述项目范围与相关服务事项协商一致，订立本合同。</w:t>
      </w:r>
    </w:p>
    <w:p w14:paraId="0CC1A1D7">
      <w:pPr>
        <w:keepNext/>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b/>
          <w:sz w:val="24"/>
          <w:szCs w:val="24"/>
          <w:highlight w:val="none"/>
        </w:rPr>
      </w:pPr>
      <w:bookmarkStart w:id="0" w:name="_Toc12506"/>
      <w:bookmarkStart w:id="1" w:name="_Toc521307606"/>
      <w:bookmarkStart w:id="2" w:name="_Toc10694"/>
      <w:r>
        <w:rPr>
          <w:rFonts w:hint="eastAsia" w:ascii="宋体" w:hAnsi="宋体" w:eastAsia="宋体" w:cs="宋体"/>
          <w:b/>
          <w:sz w:val="24"/>
          <w:szCs w:val="24"/>
          <w:highlight w:val="none"/>
          <w:lang w:val="zh-CN"/>
        </w:rPr>
        <w:t>一、项目概况</w:t>
      </w:r>
      <w:bookmarkEnd w:id="0"/>
      <w:bookmarkEnd w:id="1"/>
      <w:bookmarkEnd w:id="2"/>
    </w:p>
    <w:p w14:paraId="03076972">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1. 项目名称：                        </w:t>
      </w:r>
    </w:p>
    <w:p w14:paraId="640944CD">
      <w:pPr>
        <w:keepLines w:val="0"/>
        <w:pageBreakBefore w:val="0"/>
        <w:kinsoku/>
        <w:wordWrap/>
        <w:overflowPunct/>
        <w:topLinePunct w:val="0"/>
        <w:autoSpaceDE/>
        <w:autoSpaceDN/>
        <w:bidi w:val="0"/>
        <w:adjustRightInd w:val="0"/>
        <w:snapToGrid w:val="0"/>
        <w:spacing w:line="360" w:lineRule="auto"/>
        <w:ind w:firstLine="475" w:firstLineChars="198"/>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2. 项目地点：                         </w:t>
      </w:r>
    </w:p>
    <w:p w14:paraId="58BD0AD4">
      <w:pPr>
        <w:keepLines w:val="0"/>
        <w:pageBreakBefore w:val="0"/>
        <w:kinsoku/>
        <w:wordWrap/>
        <w:overflowPunct/>
        <w:topLinePunct w:val="0"/>
        <w:autoSpaceDE/>
        <w:autoSpaceDN/>
        <w:bidi w:val="0"/>
        <w:adjustRightInd w:val="0"/>
        <w:snapToGrid w:val="0"/>
        <w:spacing w:line="360" w:lineRule="auto"/>
        <w:ind w:firstLine="475" w:firstLineChars="198"/>
        <w:textAlignment w:val="auto"/>
        <w:outlineLvl w:val="9"/>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 xml:space="preserve">3. 项目内容：                         </w:t>
      </w:r>
      <w:r>
        <w:rPr>
          <w:rFonts w:hint="eastAsia" w:ascii="宋体" w:hAnsi="宋体" w:cs="宋体"/>
          <w:sz w:val="24"/>
          <w:szCs w:val="24"/>
          <w:highlight w:val="none"/>
          <w:lang w:val="en-US" w:eastAsia="zh-CN"/>
        </w:rPr>
        <w:t xml:space="preserve"> </w:t>
      </w:r>
    </w:p>
    <w:p w14:paraId="724917DD">
      <w:pPr>
        <w:keepLines w:val="0"/>
        <w:pageBreakBefore w:val="0"/>
        <w:kinsoku/>
        <w:wordWrap/>
        <w:overflowPunct/>
        <w:topLinePunct w:val="0"/>
        <w:autoSpaceDE/>
        <w:autoSpaceDN/>
        <w:bidi w:val="0"/>
        <w:adjustRightInd w:val="0"/>
        <w:snapToGrid w:val="0"/>
        <w:spacing w:line="360" w:lineRule="auto"/>
        <w:ind w:firstLine="475" w:firstLineChars="198"/>
        <w:textAlignment w:val="auto"/>
        <w:outlineLvl w:val="9"/>
        <w:rPr>
          <w:rFonts w:hint="eastAsia" w:ascii="宋体" w:hAnsi="宋体" w:eastAsia="宋体" w:cs="宋体"/>
          <w:spacing w:val="-8"/>
          <w:sz w:val="24"/>
          <w:szCs w:val="24"/>
          <w:highlight w:val="none"/>
        </w:rPr>
      </w:pPr>
      <w:r>
        <w:rPr>
          <w:rFonts w:hint="eastAsia" w:ascii="宋体" w:hAnsi="宋体" w:eastAsia="宋体" w:cs="宋体"/>
          <w:sz w:val="24"/>
          <w:szCs w:val="24"/>
          <w:highlight w:val="none"/>
        </w:rPr>
        <w:t>4．项目供货安装周期：</w:t>
      </w:r>
      <w:r>
        <w:rPr>
          <w:rFonts w:hint="eastAsia" w:ascii="宋体" w:hAnsi="宋体" w:eastAsia="宋体" w:cs="宋体"/>
          <w:sz w:val="24"/>
          <w:szCs w:val="24"/>
          <w:highlight w:val="none"/>
          <w:lang w:val="en-US" w:eastAsia="zh-CN"/>
        </w:rPr>
        <w:t>自合同签订生效之日起25个日历日完成供货、安装及调试</w:t>
      </w:r>
      <w:r>
        <w:rPr>
          <w:rFonts w:hint="eastAsia" w:ascii="宋体" w:hAnsi="宋体" w:eastAsia="宋体" w:cs="宋体"/>
          <w:spacing w:val="-8"/>
          <w:kern w:val="0"/>
          <w:sz w:val="24"/>
          <w:szCs w:val="24"/>
          <w:highlight w:val="none"/>
          <w:lang w:eastAsia="zh-CN"/>
        </w:rPr>
        <w:t>。</w:t>
      </w:r>
      <w:r>
        <w:rPr>
          <w:rFonts w:hint="eastAsia" w:ascii="宋体" w:hAnsi="宋体" w:eastAsia="宋体" w:cs="宋体"/>
          <w:spacing w:val="-8"/>
          <w:sz w:val="24"/>
          <w:szCs w:val="24"/>
          <w:highlight w:val="none"/>
        </w:rPr>
        <w:t xml:space="preserve">                      </w:t>
      </w:r>
    </w:p>
    <w:p w14:paraId="61BDEA5D">
      <w:pPr>
        <w:keepNext/>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b/>
          <w:sz w:val="24"/>
          <w:szCs w:val="24"/>
          <w:highlight w:val="none"/>
          <w:lang w:val="zh-CN"/>
        </w:rPr>
      </w:pPr>
      <w:bookmarkStart w:id="3" w:name="_Toc521307607"/>
      <w:bookmarkStart w:id="4" w:name="_Toc18722"/>
      <w:bookmarkStart w:id="5" w:name="_Toc7235"/>
      <w:r>
        <w:rPr>
          <w:rFonts w:hint="eastAsia" w:ascii="宋体" w:hAnsi="宋体" w:eastAsia="宋体" w:cs="宋体"/>
          <w:b/>
          <w:sz w:val="24"/>
          <w:szCs w:val="24"/>
          <w:highlight w:val="none"/>
          <w:lang w:val="zh-CN"/>
        </w:rPr>
        <w:t>二、合同清单及金额</w:t>
      </w:r>
      <w:bookmarkEnd w:id="3"/>
      <w:bookmarkEnd w:id="4"/>
      <w:bookmarkEnd w:id="5"/>
    </w:p>
    <w:tbl>
      <w:tblPr>
        <w:tblStyle w:val="3"/>
        <w:tblW w:w="85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815"/>
        <w:gridCol w:w="795"/>
        <w:gridCol w:w="780"/>
        <w:gridCol w:w="1440"/>
        <w:gridCol w:w="1375"/>
        <w:gridCol w:w="597"/>
      </w:tblGrid>
      <w:tr w14:paraId="4D6E4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04" w:type="dxa"/>
            <w:tcBorders>
              <w:top w:val="single" w:color="auto" w:sz="4" w:space="0"/>
              <w:left w:val="single" w:color="auto" w:sz="4" w:space="0"/>
              <w:bottom w:val="single" w:color="auto" w:sz="4" w:space="0"/>
              <w:right w:val="single" w:color="auto" w:sz="4" w:space="0"/>
            </w:tcBorders>
            <w:noWrap w:val="0"/>
            <w:vAlign w:val="center"/>
          </w:tcPr>
          <w:p w14:paraId="5FB8A0D0">
            <w:pPr>
              <w:keepLines w:val="0"/>
              <w:pageBreakBefore w:val="0"/>
              <w:widowControl/>
              <w:kinsoku/>
              <w:wordWrap/>
              <w:overflowPunct/>
              <w:topLinePunct w:val="0"/>
              <w:autoSpaceDE/>
              <w:autoSpaceDN/>
              <w:bidi w:val="0"/>
              <w:spacing w:line="360" w:lineRule="auto"/>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名称</w:t>
            </w:r>
          </w:p>
        </w:tc>
        <w:tc>
          <w:tcPr>
            <w:tcW w:w="1815" w:type="dxa"/>
            <w:tcBorders>
              <w:top w:val="single" w:color="auto" w:sz="4" w:space="0"/>
              <w:left w:val="single" w:color="auto" w:sz="4" w:space="0"/>
              <w:bottom w:val="single" w:color="auto" w:sz="4" w:space="0"/>
              <w:right w:val="single" w:color="auto" w:sz="4" w:space="0"/>
            </w:tcBorders>
            <w:noWrap w:val="0"/>
            <w:vAlign w:val="center"/>
          </w:tcPr>
          <w:p w14:paraId="0CB7EF2C">
            <w:pPr>
              <w:keepLines w:val="0"/>
              <w:pageBreakBefore w:val="0"/>
              <w:widowControl/>
              <w:kinsoku/>
              <w:wordWrap/>
              <w:overflowPunct/>
              <w:topLinePunct w:val="0"/>
              <w:autoSpaceDE/>
              <w:autoSpaceDN/>
              <w:bidi w:val="0"/>
              <w:spacing w:line="360" w:lineRule="auto"/>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品牌规格</w:t>
            </w:r>
          </w:p>
        </w:tc>
        <w:tc>
          <w:tcPr>
            <w:tcW w:w="795" w:type="dxa"/>
            <w:tcBorders>
              <w:top w:val="single" w:color="auto" w:sz="4" w:space="0"/>
              <w:left w:val="single" w:color="auto" w:sz="4" w:space="0"/>
              <w:bottom w:val="single" w:color="auto" w:sz="4" w:space="0"/>
              <w:right w:val="single" w:color="auto" w:sz="4" w:space="0"/>
            </w:tcBorders>
            <w:noWrap w:val="0"/>
            <w:vAlign w:val="center"/>
          </w:tcPr>
          <w:p w14:paraId="26BB0FD9">
            <w:pPr>
              <w:keepLines w:val="0"/>
              <w:pageBreakBefore w:val="0"/>
              <w:kinsoku/>
              <w:wordWrap/>
              <w:overflowPunct/>
              <w:topLinePunct w:val="0"/>
              <w:autoSpaceDE/>
              <w:autoSpaceDN/>
              <w:bidi w:val="0"/>
              <w:spacing w:line="360" w:lineRule="auto"/>
              <w:ind w:right="-99"/>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单位</w:t>
            </w:r>
          </w:p>
        </w:tc>
        <w:tc>
          <w:tcPr>
            <w:tcW w:w="780" w:type="dxa"/>
            <w:tcBorders>
              <w:top w:val="single" w:color="auto" w:sz="4" w:space="0"/>
              <w:left w:val="single" w:color="auto" w:sz="4" w:space="0"/>
              <w:bottom w:val="single" w:color="auto" w:sz="4" w:space="0"/>
              <w:right w:val="single" w:color="auto" w:sz="4" w:space="0"/>
            </w:tcBorders>
            <w:noWrap w:val="0"/>
            <w:vAlign w:val="center"/>
          </w:tcPr>
          <w:p w14:paraId="2F178CA4">
            <w:pPr>
              <w:keepLines w:val="0"/>
              <w:pageBreakBefore w:val="0"/>
              <w:kinsoku/>
              <w:wordWrap/>
              <w:overflowPunct/>
              <w:topLinePunct w:val="0"/>
              <w:autoSpaceDE/>
              <w:autoSpaceDN/>
              <w:bidi w:val="0"/>
              <w:spacing w:line="360" w:lineRule="auto"/>
              <w:ind w:right="-99"/>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数量</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5BAAAEEA">
            <w:pPr>
              <w:keepLines w:val="0"/>
              <w:pageBreakBefore w:val="0"/>
              <w:kinsoku/>
              <w:wordWrap/>
              <w:overflowPunct/>
              <w:topLinePunct w:val="0"/>
              <w:autoSpaceDE/>
              <w:autoSpaceDN/>
              <w:bidi w:val="0"/>
              <w:spacing w:line="360" w:lineRule="auto"/>
              <w:ind w:right="-99"/>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单价（元）</w:t>
            </w:r>
          </w:p>
        </w:tc>
        <w:tc>
          <w:tcPr>
            <w:tcW w:w="1375" w:type="dxa"/>
            <w:tcBorders>
              <w:top w:val="single" w:color="auto" w:sz="4" w:space="0"/>
              <w:left w:val="single" w:color="auto" w:sz="4" w:space="0"/>
              <w:bottom w:val="single" w:color="auto" w:sz="4" w:space="0"/>
              <w:right w:val="single" w:color="auto" w:sz="4" w:space="0"/>
            </w:tcBorders>
            <w:noWrap w:val="0"/>
            <w:vAlign w:val="center"/>
          </w:tcPr>
          <w:p w14:paraId="2C14055F">
            <w:pPr>
              <w:keepLines w:val="0"/>
              <w:pageBreakBefore w:val="0"/>
              <w:kinsoku/>
              <w:wordWrap/>
              <w:overflowPunct/>
              <w:topLinePunct w:val="0"/>
              <w:autoSpaceDE/>
              <w:autoSpaceDN/>
              <w:bidi w:val="0"/>
              <w:spacing w:line="360" w:lineRule="auto"/>
              <w:ind w:right="-99"/>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总价（元）</w:t>
            </w:r>
          </w:p>
        </w:tc>
        <w:tc>
          <w:tcPr>
            <w:tcW w:w="597" w:type="dxa"/>
            <w:tcBorders>
              <w:top w:val="single" w:color="auto" w:sz="4" w:space="0"/>
              <w:left w:val="single" w:color="auto" w:sz="4" w:space="0"/>
              <w:bottom w:val="single" w:color="auto" w:sz="4" w:space="0"/>
              <w:right w:val="single" w:color="auto" w:sz="4" w:space="0"/>
            </w:tcBorders>
            <w:noWrap w:val="0"/>
            <w:vAlign w:val="center"/>
          </w:tcPr>
          <w:p w14:paraId="4C7ED19D">
            <w:pPr>
              <w:keepLines w:val="0"/>
              <w:pageBreakBefore w:val="0"/>
              <w:kinsoku/>
              <w:wordWrap/>
              <w:overflowPunct/>
              <w:topLinePunct w:val="0"/>
              <w:autoSpaceDE/>
              <w:autoSpaceDN/>
              <w:bidi w:val="0"/>
              <w:spacing w:line="360" w:lineRule="auto"/>
              <w:ind w:right="-99"/>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备注</w:t>
            </w:r>
          </w:p>
        </w:tc>
      </w:tr>
      <w:tr w14:paraId="0B096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704" w:type="dxa"/>
            <w:tcBorders>
              <w:top w:val="single" w:color="auto" w:sz="4" w:space="0"/>
              <w:left w:val="single" w:color="auto" w:sz="4" w:space="0"/>
              <w:bottom w:val="single" w:color="auto" w:sz="4" w:space="0"/>
              <w:right w:val="single" w:color="auto" w:sz="4" w:space="0"/>
            </w:tcBorders>
            <w:noWrap w:val="0"/>
            <w:vAlign w:val="center"/>
          </w:tcPr>
          <w:p w14:paraId="4D8DDB64">
            <w:pPr>
              <w:keepLines w:val="0"/>
              <w:pageBreakBefore w:val="0"/>
              <w:widowControl/>
              <w:kinsoku/>
              <w:wordWrap/>
              <w:overflowPunct/>
              <w:topLinePunct w:val="0"/>
              <w:autoSpaceDE/>
              <w:autoSpaceDN/>
              <w:bidi w:val="0"/>
              <w:spacing w:line="360" w:lineRule="auto"/>
              <w:jc w:val="center"/>
              <w:textAlignment w:val="auto"/>
              <w:outlineLvl w:val="9"/>
              <w:rPr>
                <w:rFonts w:hint="eastAsia" w:ascii="宋体" w:hAnsi="宋体" w:eastAsia="宋体" w:cs="宋体"/>
                <w:sz w:val="24"/>
                <w:szCs w:val="24"/>
                <w:highlight w:val="none"/>
              </w:rPr>
            </w:pPr>
          </w:p>
        </w:tc>
        <w:tc>
          <w:tcPr>
            <w:tcW w:w="1815" w:type="dxa"/>
            <w:tcBorders>
              <w:top w:val="single" w:color="auto" w:sz="4" w:space="0"/>
              <w:left w:val="single" w:color="auto" w:sz="4" w:space="0"/>
              <w:bottom w:val="single" w:color="auto" w:sz="4" w:space="0"/>
              <w:right w:val="single" w:color="auto" w:sz="4" w:space="0"/>
            </w:tcBorders>
            <w:noWrap w:val="0"/>
            <w:vAlign w:val="center"/>
          </w:tcPr>
          <w:p w14:paraId="081994F2">
            <w:pPr>
              <w:keepLines w:val="0"/>
              <w:pageBreakBefore w:val="0"/>
              <w:widowControl/>
              <w:kinsoku/>
              <w:wordWrap/>
              <w:overflowPunct/>
              <w:topLinePunct w:val="0"/>
              <w:autoSpaceDE/>
              <w:autoSpaceDN/>
              <w:bidi w:val="0"/>
              <w:spacing w:line="360" w:lineRule="auto"/>
              <w:jc w:val="center"/>
              <w:textAlignment w:val="auto"/>
              <w:outlineLvl w:val="9"/>
              <w:rPr>
                <w:rFonts w:hint="eastAsia" w:ascii="宋体" w:hAnsi="宋体" w:eastAsia="宋体" w:cs="宋体"/>
                <w:sz w:val="24"/>
                <w:szCs w:val="24"/>
                <w:highlight w:val="none"/>
              </w:rPr>
            </w:pPr>
          </w:p>
        </w:tc>
        <w:tc>
          <w:tcPr>
            <w:tcW w:w="795" w:type="dxa"/>
            <w:tcBorders>
              <w:top w:val="single" w:color="auto" w:sz="4" w:space="0"/>
              <w:left w:val="single" w:color="auto" w:sz="4" w:space="0"/>
              <w:bottom w:val="single" w:color="auto" w:sz="4" w:space="0"/>
              <w:right w:val="single" w:color="auto" w:sz="4" w:space="0"/>
            </w:tcBorders>
            <w:noWrap w:val="0"/>
            <w:vAlign w:val="center"/>
          </w:tcPr>
          <w:p w14:paraId="22F2CAAF">
            <w:pPr>
              <w:keepLines w:val="0"/>
              <w:pageBreakBefore w:val="0"/>
              <w:kinsoku/>
              <w:wordWrap/>
              <w:overflowPunct/>
              <w:topLinePunct w:val="0"/>
              <w:autoSpaceDE/>
              <w:autoSpaceDN/>
              <w:bidi w:val="0"/>
              <w:spacing w:line="360" w:lineRule="auto"/>
              <w:ind w:right="-99"/>
              <w:jc w:val="center"/>
              <w:textAlignment w:val="auto"/>
              <w:outlineLvl w:val="9"/>
              <w:rPr>
                <w:rFonts w:hint="eastAsia" w:ascii="宋体" w:hAnsi="宋体" w:eastAsia="宋体" w:cs="宋体"/>
                <w:sz w:val="24"/>
                <w:szCs w:val="24"/>
                <w:highlight w:val="none"/>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0AA23D38">
            <w:pPr>
              <w:keepLines w:val="0"/>
              <w:pageBreakBefore w:val="0"/>
              <w:kinsoku/>
              <w:wordWrap/>
              <w:overflowPunct/>
              <w:topLinePunct w:val="0"/>
              <w:autoSpaceDE/>
              <w:autoSpaceDN/>
              <w:bidi w:val="0"/>
              <w:spacing w:line="360" w:lineRule="auto"/>
              <w:ind w:right="-99"/>
              <w:jc w:val="center"/>
              <w:textAlignment w:val="auto"/>
              <w:outlineLvl w:val="9"/>
              <w:rPr>
                <w:rFonts w:hint="eastAsia" w:ascii="宋体" w:hAnsi="宋体" w:eastAsia="宋体" w:cs="宋体"/>
                <w:sz w:val="24"/>
                <w:szCs w:val="24"/>
                <w:highlight w:val="none"/>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6E8F3790">
            <w:pPr>
              <w:keepLines w:val="0"/>
              <w:pageBreakBefore w:val="0"/>
              <w:kinsoku/>
              <w:wordWrap/>
              <w:overflowPunct/>
              <w:topLinePunct w:val="0"/>
              <w:autoSpaceDE/>
              <w:autoSpaceDN/>
              <w:bidi w:val="0"/>
              <w:spacing w:line="360" w:lineRule="auto"/>
              <w:ind w:right="-99"/>
              <w:jc w:val="center"/>
              <w:textAlignment w:val="auto"/>
              <w:outlineLvl w:val="9"/>
              <w:rPr>
                <w:rFonts w:hint="eastAsia" w:ascii="宋体" w:hAnsi="宋体" w:eastAsia="宋体" w:cs="宋体"/>
                <w:sz w:val="24"/>
                <w:szCs w:val="24"/>
                <w:highlight w:val="none"/>
              </w:rPr>
            </w:pPr>
          </w:p>
        </w:tc>
        <w:tc>
          <w:tcPr>
            <w:tcW w:w="1375" w:type="dxa"/>
            <w:tcBorders>
              <w:top w:val="single" w:color="auto" w:sz="4" w:space="0"/>
              <w:left w:val="single" w:color="auto" w:sz="4" w:space="0"/>
              <w:bottom w:val="single" w:color="auto" w:sz="4" w:space="0"/>
              <w:right w:val="single" w:color="auto" w:sz="4" w:space="0"/>
            </w:tcBorders>
            <w:noWrap w:val="0"/>
            <w:vAlign w:val="center"/>
          </w:tcPr>
          <w:p w14:paraId="2FF55BA9">
            <w:pPr>
              <w:keepLines w:val="0"/>
              <w:pageBreakBefore w:val="0"/>
              <w:kinsoku/>
              <w:wordWrap/>
              <w:overflowPunct/>
              <w:topLinePunct w:val="0"/>
              <w:autoSpaceDE/>
              <w:autoSpaceDN/>
              <w:bidi w:val="0"/>
              <w:spacing w:line="360" w:lineRule="auto"/>
              <w:ind w:right="-99"/>
              <w:jc w:val="center"/>
              <w:textAlignment w:val="auto"/>
              <w:outlineLvl w:val="9"/>
              <w:rPr>
                <w:rFonts w:hint="eastAsia" w:ascii="宋体" w:hAnsi="宋体" w:eastAsia="宋体" w:cs="宋体"/>
                <w:sz w:val="24"/>
                <w:szCs w:val="24"/>
                <w:highlight w:val="none"/>
              </w:rPr>
            </w:pPr>
          </w:p>
        </w:tc>
        <w:tc>
          <w:tcPr>
            <w:tcW w:w="597" w:type="dxa"/>
            <w:tcBorders>
              <w:top w:val="single" w:color="auto" w:sz="4" w:space="0"/>
              <w:left w:val="single" w:color="auto" w:sz="4" w:space="0"/>
              <w:bottom w:val="single" w:color="auto" w:sz="4" w:space="0"/>
              <w:right w:val="single" w:color="auto" w:sz="4" w:space="0"/>
            </w:tcBorders>
            <w:noWrap w:val="0"/>
            <w:vAlign w:val="center"/>
          </w:tcPr>
          <w:p w14:paraId="2827C4C6">
            <w:pPr>
              <w:keepLines w:val="0"/>
              <w:pageBreakBefore w:val="0"/>
              <w:kinsoku/>
              <w:wordWrap/>
              <w:overflowPunct/>
              <w:topLinePunct w:val="0"/>
              <w:autoSpaceDE/>
              <w:autoSpaceDN/>
              <w:bidi w:val="0"/>
              <w:spacing w:line="360" w:lineRule="auto"/>
              <w:ind w:right="-99"/>
              <w:jc w:val="left"/>
              <w:textAlignment w:val="auto"/>
              <w:outlineLvl w:val="9"/>
              <w:rPr>
                <w:rFonts w:hint="eastAsia" w:ascii="宋体" w:hAnsi="宋体" w:eastAsia="宋体" w:cs="宋体"/>
                <w:sz w:val="24"/>
                <w:szCs w:val="24"/>
                <w:highlight w:val="none"/>
              </w:rPr>
            </w:pPr>
          </w:p>
        </w:tc>
      </w:tr>
      <w:tr w14:paraId="16BD7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1704" w:type="dxa"/>
            <w:tcBorders>
              <w:top w:val="single" w:color="auto" w:sz="4" w:space="0"/>
              <w:left w:val="single" w:color="auto" w:sz="4" w:space="0"/>
              <w:bottom w:val="single" w:color="auto" w:sz="4" w:space="0"/>
              <w:right w:val="single" w:color="auto" w:sz="4" w:space="0"/>
            </w:tcBorders>
            <w:noWrap w:val="0"/>
            <w:vAlign w:val="center"/>
          </w:tcPr>
          <w:p w14:paraId="6926528A">
            <w:pPr>
              <w:keepLines w:val="0"/>
              <w:pageBreakBefore w:val="0"/>
              <w:widowControl/>
              <w:kinsoku/>
              <w:wordWrap/>
              <w:overflowPunct/>
              <w:topLinePunct w:val="0"/>
              <w:autoSpaceDE/>
              <w:autoSpaceDN/>
              <w:bidi w:val="0"/>
              <w:spacing w:line="360" w:lineRule="auto"/>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合计</w:t>
            </w:r>
          </w:p>
        </w:tc>
        <w:tc>
          <w:tcPr>
            <w:tcW w:w="6802" w:type="dxa"/>
            <w:gridSpan w:val="6"/>
            <w:tcBorders>
              <w:top w:val="single" w:color="auto" w:sz="4" w:space="0"/>
              <w:left w:val="single" w:color="auto" w:sz="4" w:space="0"/>
              <w:bottom w:val="single" w:color="auto" w:sz="4" w:space="0"/>
              <w:right w:val="single" w:color="auto" w:sz="4" w:space="0"/>
            </w:tcBorders>
            <w:noWrap w:val="0"/>
            <w:vAlign w:val="center"/>
          </w:tcPr>
          <w:p w14:paraId="61C47CAD">
            <w:pPr>
              <w:keepLines w:val="0"/>
              <w:pageBreakBefore w:val="0"/>
              <w:widowControl/>
              <w:kinsoku/>
              <w:wordWrap/>
              <w:overflowPunct/>
              <w:topLinePunct w:val="0"/>
              <w:autoSpaceDE/>
              <w:autoSpaceDN/>
              <w:bidi w:val="0"/>
              <w:spacing w:line="360" w:lineRule="auto"/>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zh-CN"/>
              </w:rPr>
              <w:t>大写 ：     。￥     元</w:t>
            </w:r>
          </w:p>
        </w:tc>
      </w:tr>
    </w:tbl>
    <w:p w14:paraId="00E2BC71">
      <w:pPr>
        <w:keepLines w:val="0"/>
        <w:pageBreakBefore w:val="0"/>
        <w:kinsoku/>
        <w:wordWrap/>
        <w:overflowPunct/>
        <w:topLinePunct w:val="0"/>
        <w:autoSpaceDE/>
        <w:autoSpaceDN/>
        <w:bidi w:val="0"/>
        <w:adjustRightInd w:val="0"/>
        <w:snapToGrid w:val="0"/>
        <w:spacing w:line="360" w:lineRule="auto"/>
        <w:ind w:firstLine="475" w:firstLineChars="198"/>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具体参数详见附件。</w:t>
      </w:r>
    </w:p>
    <w:p w14:paraId="0D3FED42">
      <w:pPr>
        <w:keepNext/>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b/>
          <w:sz w:val="24"/>
          <w:szCs w:val="24"/>
          <w:highlight w:val="none"/>
          <w:lang w:val="zh-CN"/>
        </w:rPr>
      </w:pPr>
      <w:bookmarkStart w:id="6" w:name="_Toc31808"/>
      <w:bookmarkStart w:id="7" w:name="_Toc16701"/>
      <w:bookmarkStart w:id="8" w:name="_Toc521307608"/>
      <w:r>
        <w:rPr>
          <w:rFonts w:hint="eastAsia" w:ascii="宋体" w:hAnsi="宋体" w:eastAsia="宋体" w:cs="宋体"/>
          <w:b/>
          <w:sz w:val="24"/>
          <w:szCs w:val="24"/>
          <w:highlight w:val="none"/>
          <w:lang w:val="zh-CN"/>
        </w:rPr>
        <w:t>三、结算方式</w:t>
      </w:r>
      <w:bookmarkEnd w:id="6"/>
      <w:bookmarkEnd w:id="7"/>
      <w:bookmarkEnd w:id="8"/>
    </w:p>
    <w:p w14:paraId="323FBA31">
      <w:pPr>
        <w:keepLines w:val="0"/>
        <w:pageBreakBefore w:val="0"/>
        <w:kinsoku/>
        <w:wordWrap/>
        <w:overflowPunct/>
        <w:topLinePunct w:val="0"/>
        <w:autoSpaceDE/>
        <w:autoSpaceDN/>
        <w:bidi w:val="0"/>
        <w:spacing w:line="360" w:lineRule="auto"/>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1.结算单位：银行转账，由采购人负责结算。在付款前，供应商必须开具与合同金额相应的发票给采购人，附详细清单。</w:t>
      </w:r>
    </w:p>
    <w:p w14:paraId="21432F5A">
      <w:pPr>
        <w:keepLines w:val="0"/>
        <w:pageBreakBefore w:val="0"/>
        <w:kinsoku/>
        <w:wordWrap/>
        <w:overflowPunct/>
        <w:topLinePunct w:val="0"/>
        <w:autoSpaceDE/>
        <w:autoSpaceDN/>
        <w:bidi w:val="0"/>
        <w:spacing w:line="360" w:lineRule="auto"/>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2.付款方式：</w:t>
      </w:r>
    </w:p>
    <w:p w14:paraId="4EC50365">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货物全部运到采购人指定地方，安装、调试完毕并经终验合格后，乙方持《终验合格单》原件和全额发票在甲方处办理合同总金额的百分之百（100%）货款支付手续</w:t>
      </w:r>
      <w:r>
        <w:rPr>
          <w:rFonts w:hint="eastAsia" w:ascii="宋体" w:hAnsi="宋体" w:eastAsia="宋体" w:cs="宋体"/>
          <w:sz w:val="24"/>
          <w:szCs w:val="24"/>
          <w:highlight w:val="none"/>
          <w:lang w:eastAsia="zh-CN"/>
        </w:rPr>
        <w:t>。</w:t>
      </w:r>
    </w:p>
    <w:p w14:paraId="245F1F7C">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bookmarkStart w:id="9" w:name="_Toc521307612"/>
      <w:bookmarkStart w:id="10" w:name="_Toc6803"/>
      <w:bookmarkStart w:id="11" w:name="_Toc21136"/>
      <w:r>
        <w:rPr>
          <w:rFonts w:hint="eastAsia" w:ascii="宋体" w:hAnsi="宋体" w:eastAsia="宋体" w:cs="宋体"/>
          <w:sz w:val="24"/>
          <w:szCs w:val="24"/>
          <w:highlight w:val="none"/>
          <w:lang w:val="zh-CN"/>
        </w:rPr>
        <w:t>四 、付款进度要求：</w:t>
      </w:r>
    </w:p>
    <w:p w14:paraId="52080380">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1、供货、安装、调试、验收周期(工期):自合同签订生效之日起</w:t>
      </w:r>
      <w:r>
        <w:rPr>
          <w:rFonts w:hint="eastAsia" w:ascii="宋体" w:hAnsi="宋体" w:cs="宋体"/>
          <w:sz w:val="24"/>
          <w:szCs w:val="24"/>
          <w:highlight w:val="none"/>
          <w:lang w:val="en-US" w:eastAsia="zh-CN"/>
        </w:rPr>
        <w:t>25</w:t>
      </w:r>
      <w:r>
        <w:rPr>
          <w:rFonts w:hint="eastAsia" w:ascii="宋体" w:hAnsi="宋体" w:eastAsia="宋体" w:cs="宋体"/>
          <w:sz w:val="24"/>
          <w:szCs w:val="24"/>
          <w:highlight w:val="none"/>
          <w:lang w:val="zh-CN"/>
        </w:rPr>
        <w:t>日历日。</w:t>
      </w:r>
    </w:p>
    <w:p w14:paraId="4FEF9DA2">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w:t>
      </w:r>
      <w:r>
        <w:rPr>
          <w:rFonts w:hint="eastAsia" w:ascii="宋体" w:hAnsi="宋体" w:eastAsia="宋体" w:cs="宋体"/>
          <w:sz w:val="24"/>
          <w:szCs w:val="24"/>
          <w:highlight w:val="none"/>
          <w:lang w:val="zh-CN" w:eastAsia="zh-CN"/>
        </w:rPr>
        <w:t>全部产品交货至指定地点并验收合格交付使用，付合同总价的100%</w:t>
      </w:r>
      <w:r>
        <w:rPr>
          <w:rFonts w:hint="eastAsia" w:ascii="宋体" w:hAnsi="宋体" w:eastAsia="宋体" w:cs="宋体"/>
          <w:sz w:val="24"/>
          <w:szCs w:val="24"/>
          <w:highlight w:val="none"/>
          <w:lang w:val="zh-CN"/>
        </w:rPr>
        <w:t>。</w:t>
      </w:r>
    </w:p>
    <w:p w14:paraId="47228446">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五 、售后服务要求：</w:t>
      </w:r>
    </w:p>
    <w:p w14:paraId="50A88706">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eastAsia="zh-CN"/>
        </w:rPr>
        <w:t xml:space="preserve">1、派专人对学校提供售后服务，并每月定期对所提供的软硬件设备、材料等进行巡检，做好巡检记录； </w:t>
      </w:r>
    </w:p>
    <w:p w14:paraId="5D4921B9">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eastAsia="zh-CN"/>
        </w:rPr>
        <w:t xml:space="preserve">2、货物(产品)的现场安装、调试和启动监督； </w:t>
      </w:r>
    </w:p>
    <w:p w14:paraId="71A7D3DE">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eastAsia="zh-CN"/>
        </w:rPr>
        <w:t>3、就货物的安装、启动、运行及维护等对采购人的人员进行免费培训。主要培训内容为货物的基本结构、性能、主要部件的构造及处理，日常使用操作、保养与管理、常见故障的排除、紧急情况的处理等，如采购人未使用过同类型货物，成交供应商还需就货物的功能对采购人的人员进行相应的技术培训，培训地点主要在货物安装现场或由采购人安排，并制作维护使用手册。</w:t>
      </w:r>
    </w:p>
    <w:p w14:paraId="049CE39B">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eastAsia="zh-CN"/>
        </w:rPr>
        <w:t>4、质保期自采购人在货物质量验收单(终验)上签字之日起计算；</w:t>
      </w:r>
    </w:p>
    <w:p w14:paraId="2BEBD78B">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eastAsia="zh-CN"/>
        </w:rPr>
        <w:t xml:space="preserve">5、乙方对其所提供软硬件设备、材料等负贵备品配件的供应，长期提供维修服务，并提供技术咨询等服务。 质保期内应无偿负贵的维修和替换等工作。 超 出质保期只收取维修所需原设备、 材料成本费用 。 </w:t>
      </w:r>
    </w:p>
    <w:p w14:paraId="18C92364">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eastAsia="zh-CN"/>
        </w:rPr>
        <w:t xml:space="preserve">6、服务响应时限： 7*24小时服务，提供售后服务电话(应具有：固定电话、 移动电话、 传真) ; </w:t>
      </w:r>
    </w:p>
    <w:p w14:paraId="46A4C238">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eastAsia="zh-CN"/>
        </w:rPr>
        <w:t xml:space="preserve">7、成交供应商在接到采购人通知后维修工作时间不大于24小时，更换工作 时间不大于72小时 。 </w:t>
      </w:r>
    </w:p>
    <w:p w14:paraId="07C75909">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eastAsia="zh-CN"/>
        </w:rPr>
        <w:t xml:space="preserve">8、若乙方未按照合同规定的售后服务要求执行， 甲方有权自行选择第三方 进行维护和修理，所产生的费用由乙方承担。 </w:t>
      </w:r>
    </w:p>
    <w:p w14:paraId="51D9FD38">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eastAsia="zh-CN"/>
        </w:rPr>
        <w:t xml:space="preserve">9、在质保期内更换系统中部件 (包括软件和硬件) , 其保修期应相应延长 。 </w:t>
      </w:r>
    </w:p>
    <w:p w14:paraId="380E7CFC">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eastAsia="zh-CN"/>
        </w:rPr>
        <w:t>1</w:t>
      </w:r>
      <w:r>
        <w:rPr>
          <w:rFonts w:hint="eastAsia" w:ascii="宋体" w:hAnsi="宋体" w:cs="宋体"/>
          <w:sz w:val="24"/>
          <w:szCs w:val="24"/>
          <w:highlight w:val="none"/>
          <w:lang w:val="en-US" w:eastAsia="zh-CN"/>
        </w:rPr>
        <w:t>0</w:t>
      </w:r>
      <w:r>
        <w:rPr>
          <w:rFonts w:hint="eastAsia" w:ascii="宋体" w:hAnsi="宋体" w:eastAsia="宋体" w:cs="宋体"/>
          <w:sz w:val="24"/>
          <w:szCs w:val="24"/>
          <w:highlight w:val="none"/>
          <w:lang w:val="zh-CN" w:eastAsia="zh-CN"/>
        </w:rPr>
        <w:t xml:space="preserve">、所有货物服务方式均为成交供应商上门服务，即由成交供应商派员到货 物使用现场维修， 由此产生的一切费用均由成交供应商承担； </w:t>
      </w:r>
    </w:p>
    <w:p w14:paraId="17EA64FF">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eastAsia="zh-CN"/>
        </w:rPr>
        <w:t>1</w:t>
      </w:r>
      <w:r>
        <w:rPr>
          <w:rFonts w:hint="eastAsia" w:ascii="宋体" w:hAnsi="宋体" w:cs="宋体"/>
          <w:sz w:val="24"/>
          <w:szCs w:val="24"/>
          <w:highlight w:val="none"/>
          <w:lang w:val="en-US" w:eastAsia="zh-CN"/>
        </w:rPr>
        <w:t>1</w:t>
      </w:r>
      <w:r>
        <w:rPr>
          <w:rFonts w:hint="eastAsia" w:ascii="宋体" w:hAnsi="宋体" w:eastAsia="宋体" w:cs="宋体"/>
          <w:sz w:val="24"/>
          <w:szCs w:val="24"/>
          <w:highlight w:val="none"/>
          <w:lang w:val="zh-CN" w:eastAsia="zh-CN"/>
        </w:rPr>
        <w:t xml:space="preserve">、质保期结束后的货物维修、维护由双方协商再定； </w:t>
      </w:r>
    </w:p>
    <w:p w14:paraId="2659311D">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eastAsia="zh-CN"/>
        </w:rPr>
        <w:t>1</w:t>
      </w:r>
      <w:r>
        <w:rPr>
          <w:rFonts w:hint="eastAsia" w:ascii="宋体" w:hAnsi="宋体" w:cs="宋体"/>
          <w:sz w:val="24"/>
          <w:szCs w:val="24"/>
          <w:highlight w:val="none"/>
          <w:lang w:val="en-US" w:eastAsia="zh-CN"/>
        </w:rPr>
        <w:t>2</w:t>
      </w:r>
      <w:r>
        <w:rPr>
          <w:rFonts w:hint="eastAsia" w:ascii="宋体" w:hAnsi="宋体" w:eastAsia="宋体" w:cs="宋体"/>
          <w:sz w:val="24"/>
          <w:szCs w:val="24"/>
          <w:highlight w:val="none"/>
          <w:lang w:val="zh-CN" w:eastAsia="zh-CN"/>
        </w:rPr>
        <w:t>、质保期： 不少于 12个月 。</w:t>
      </w:r>
      <w:bookmarkStart w:id="39" w:name="_GoBack"/>
      <w:bookmarkEnd w:id="39"/>
    </w:p>
    <w:p w14:paraId="433E7FAD">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六 、交货、验收要求：</w:t>
      </w:r>
    </w:p>
    <w:p w14:paraId="191DAA04">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1、硬件设备到达甲方指定地点后，组织现场开箱请点验货。所到设备的型号和数量必须与合同一致，甲方和乙方共同签署到货验收单。未签收到货验收单 的货物不得擅自开箱安装。</w:t>
      </w:r>
    </w:p>
    <w:p w14:paraId="0C3ED8CD">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2、乙方保证合同所有设备是全新的(包括零部件),其规格参数及配件不低 于(符合)本项目招投标文件的要求。</w:t>
      </w:r>
    </w:p>
    <w:p w14:paraId="6BD82F0E">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3、安装完成，乙方进行自测并形成自测报告(软硬件),出现的问题限期整 改。自检最终通过后，乙方提出验收申请，甲方组织相关人员进行最终验收。</w:t>
      </w:r>
    </w:p>
    <w:p w14:paraId="18F73E5C">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4、设备采购从通过最终验收之日起进入保修期，提供原厂保修升级。</w:t>
      </w:r>
    </w:p>
    <w:p w14:paraId="67C97BF2">
      <w:pPr>
        <w:keepNext/>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b/>
          <w:sz w:val="24"/>
          <w:szCs w:val="24"/>
          <w:highlight w:val="none"/>
          <w:lang w:val="zh-CN"/>
        </w:rPr>
      </w:pPr>
      <w:r>
        <w:rPr>
          <w:rFonts w:hint="eastAsia" w:ascii="宋体" w:hAnsi="宋体" w:eastAsia="宋体" w:cs="宋体"/>
          <w:b/>
          <w:sz w:val="24"/>
          <w:szCs w:val="24"/>
          <w:highlight w:val="none"/>
          <w:lang w:val="zh-CN"/>
        </w:rPr>
        <w:t>七、技术支持</w:t>
      </w:r>
      <w:bookmarkEnd w:id="9"/>
      <w:bookmarkEnd w:id="10"/>
      <w:bookmarkEnd w:id="11"/>
    </w:p>
    <w:p w14:paraId="022E8CF1">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1、供应商应提供可承担维修职能的公司、全资分公司或办事处，并驻守多名维护技术人员，并提供地点、联系人（常驻工程师）及联系电话（服务热线），随时解答各种疑问。</w:t>
      </w:r>
    </w:p>
    <w:p w14:paraId="13DFE97E">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现场服务，质保期内维修费用含在合同总价中，提供终身维修（护）。在质量保证期内发生重大故障，维修工程师抵达现场时间≤48小时，3个工作日内无法恢复的故障提供免费更换服务。产品实行“三包”，并承担由此产生的包装、运输等的一切费用。</w:t>
      </w:r>
    </w:p>
    <w:p w14:paraId="4414490F">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3、质保期内每年至少四次免费上门维护，回访。</w:t>
      </w:r>
    </w:p>
    <w:p w14:paraId="7C888410">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4、对于存在质量问题或者短少的产品，供应商应在接到采购人的通知2个日历日内负责修复，调换、重新制作或补齐。</w:t>
      </w:r>
    </w:p>
    <w:p w14:paraId="664A189B">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5、提供质保期内全年7×24小时的技术咨询服务。供应商怠于或无法提供技术支持的，采购人有权委托第三方处理，由此产生的费用和后果由供应商负责，费用直接从应付款或质保金中扣除。供应商指定的项目总协调人必须是供应商公司管理层人员。因供应商的人员变更原因所造成的任何项目质量、进度滞后的后果，由供应商承担。</w:t>
      </w:r>
    </w:p>
    <w:p w14:paraId="1CC9585E">
      <w:pPr>
        <w:keepLines w:val="0"/>
        <w:pageBreakBefore w:val="0"/>
        <w:tabs>
          <w:tab w:val="left" w:pos="840"/>
        </w:tabs>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6、供应商在项目实施过程中，质量保障人员、资源不足或者执行不力，给项目质量带来的风险超出采购人认定的允许范围时，采购人可终止本项目的合作并进行索赔。</w:t>
      </w:r>
    </w:p>
    <w:p w14:paraId="3B8CF646">
      <w:pPr>
        <w:keepNext/>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b/>
          <w:sz w:val="24"/>
          <w:szCs w:val="24"/>
          <w:highlight w:val="none"/>
          <w:lang w:val="zh-CN"/>
        </w:rPr>
      </w:pPr>
      <w:bookmarkStart w:id="12" w:name="_Toc17313"/>
      <w:bookmarkStart w:id="13" w:name="_Toc17330"/>
      <w:bookmarkStart w:id="14" w:name="_Toc521307613"/>
      <w:r>
        <w:rPr>
          <w:rFonts w:hint="eastAsia" w:ascii="宋体" w:hAnsi="宋体" w:eastAsia="宋体" w:cs="宋体"/>
          <w:b/>
          <w:sz w:val="24"/>
          <w:szCs w:val="24"/>
          <w:highlight w:val="none"/>
          <w:lang w:val="zh-CN"/>
        </w:rPr>
        <w:t>八、技术培训</w:t>
      </w:r>
      <w:bookmarkEnd w:id="12"/>
      <w:bookmarkEnd w:id="13"/>
      <w:bookmarkEnd w:id="14"/>
    </w:p>
    <w:p w14:paraId="0144D746">
      <w:pPr>
        <w:keepLines w:val="0"/>
        <w:pageBreakBefore w:val="0"/>
        <w:kinsoku/>
        <w:wordWrap/>
        <w:overflowPunct/>
        <w:topLinePunct w:val="0"/>
        <w:autoSpaceDE/>
        <w:autoSpaceDN/>
        <w:bidi w:val="0"/>
        <w:snapToGrid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1、供应商应告知采购人产品的使用、维护、保养等有关注意事项，并根据招磋商响应文件要求对采购人人员进行培训，培训费用由供应商承担。</w:t>
      </w:r>
    </w:p>
    <w:p w14:paraId="7F1511E5">
      <w:pPr>
        <w:keepLines w:val="0"/>
        <w:pageBreakBefore w:val="0"/>
        <w:tabs>
          <w:tab w:val="left" w:pos="420"/>
        </w:tabs>
        <w:kinsoku/>
        <w:wordWrap/>
        <w:overflowPunct/>
        <w:topLinePunct w:val="0"/>
        <w:autoSpaceDE/>
        <w:autoSpaceDN/>
        <w:bidi w:val="0"/>
        <w:spacing w:line="360" w:lineRule="auto"/>
        <w:ind w:firstLine="42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2、在产品正常使用寿命内发生的任何产品质量问题，供应商应当于接到采购人通知后4小时内赶到现场，并及时予以解决。</w:t>
      </w:r>
    </w:p>
    <w:p w14:paraId="303ABB73">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val="en-US" w:eastAsia="zh-CN"/>
        </w:rPr>
        <w:t>3、</w:t>
      </w:r>
      <w:r>
        <w:rPr>
          <w:rFonts w:hint="eastAsia" w:ascii="宋体" w:hAnsi="宋体" w:eastAsia="宋体" w:cs="宋体"/>
          <w:kern w:val="0"/>
          <w:sz w:val="24"/>
          <w:szCs w:val="24"/>
          <w:highlight w:val="none"/>
        </w:rPr>
        <w:t>供应商应向采购人提供全套中文技术资料一套，其费用包括在投标价格中：</w:t>
      </w:r>
    </w:p>
    <w:p w14:paraId="51BB2227">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3.1</w:t>
      </w:r>
      <w:r>
        <w:rPr>
          <w:rFonts w:hint="eastAsia" w:ascii="宋体" w:hAnsi="宋体" w:eastAsia="宋体" w:cs="宋体"/>
          <w:sz w:val="24"/>
          <w:szCs w:val="24"/>
          <w:highlight w:val="none"/>
        </w:rPr>
        <w:t>、完整的产品操作使用手册、说明书和维护、修理技术文件，图纸、保修卡等；</w:t>
      </w:r>
    </w:p>
    <w:p w14:paraId="32E71C2F">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2、制造厂的检验、测试报告、产品检验合格证书，质量保证书等文件验收时须一并提供；</w:t>
      </w:r>
    </w:p>
    <w:p w14:paraId="69E5FFBF">
      <w:pPr>
        <w:keepLines w:val="0"/>
        <w:pageBreakBefore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val="en-US" w:eastAsia="zh-CN"/>
        </w:rPr>
        <w:t>3.</w:t>
      </w:r>
      <w:r>
        <w:rPr>
          <w:rFonts w:hint="eastAsia" w:ascii="宋体" w:hAnsi="宋体" w:eastAsia="宋体" w:cs="宋体"/>
          <w:kern w:val="0"/>
          <w:sz w:val="24"/>
          <w:szCs w:val="24"/>
          <w:highlight w:val="none"/>
        </w:rPr>
        <w:t>3、产品验收标准；</w:t>
      </w:r>
    </w:p>
    <w:p w14:paraId="1B0F7531">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4、技术说明书及必须的其它技术资料；</w:t>
      </w:r>
    </w:p>
    <w:p w14:paraId="4956D5BA">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5、产品安装，调试、及原理图；</w:t>
      </w:r>
    </w:p>
    <w:p w14:paraId="00379D00">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6、零部件目录；</w:t>
      </w:r>
    </w:p>
    <w:p w14:paraId="39DC9665">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7、备品备件、易损件清单；</w:t>
      </w:r>
    </w:p>
    <w:p w14:paraId="0D445D7F">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8、整体验收后提供验收报告；</w:t>
      </w:r>
    </w:p>
    <w:p w14:paraId="1A7AE6F4">
      <w:pPr>
        <w:keepNext/>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b/>
          <w:sz w:val="24"/>
          <w:szCs w:val="24"/>
          <w:highlight w:val="none"/>
          <w:lang w:val="zh-CN"/>
        </w:rPr>
      </w:pPr>
      <w:bookmarkStart w:id="15" w:name="_Toc20040"/>
      <w:bookmarkStart w:id="16" w:name="_Toc5062"/>
      <w:bookmarkStart w:id="17" w:name="_Toc521307615"/>
      <w:r>
        <w:rPr>
          <w:rFonts w:hint="eastAsia" w:ascii="宋体" w:hAnsi="宋体" w:cs="宋体"/>
          <w:b/>
          <w:sz w:val="24"/>
          <w:szCs w:val="24"/>
          <w:highlight w:val="none"/>
          <w:lang w:val="zh-CN"/>
        </w:rPr>
        <w:t>九</w:t>
      </w:r>
      <w:r>
        <w:rPr>
          <w:rFonts w:hint="eastAsia" w:ascii="宋体" w:hAnsi="宋体" w:eastAsia="宋体" w:cs="宋体"/>
          <w:b/>
          <w:sz w:val="24"/>
          <w:szCs w:val="24"/>
          <w:highlight w:val="none"/>
          <w:lang w:val="zh-CN"/>
        </w:rPr>
        <w:t>、质量保证</w:t>
      </w:r>
      <w:bookmarkEnd w:id="15"/>
      <w:bookmarkEnd w:id="16"/>
      <w:bookmarkEnd w:id="17"/>
    </w:p>
    <w:p w14:paraId="4B7D1A2B">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供应商提供的产品及材料必须保证质量可靠，为市场最新或主流产品，进货渠道正常，配置合理齐全，应全面满足招标文件的要求，招标文件未明确要求的内容，供应商须按招标产品主流标准配置或以采购人的补充要求为准。所供产品工艺质量应严格按国家最新发布的规范标准执行，如发生质量问题由供应商承担全部责任。</w:t>
      </w:r>
    </w:p>
    <w:p w14:paraId="2EEFE483">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2、供应商应保证所有产品的完好无损包括配套包装，如有缺漏、损坏，由供应商负责调换、补齐或赔偿。</w:t>
      </w:r>
    </w:p>
    <w:p w14:paraId="4C1DA3FC">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3、采购人使用产品过程中因产品质量、产品缺陷及安装质量等造成人身伤亡、财产损失的，由供应商负责解决并承担全部责任。</w:t>
      </w:r>
    </w:p>
    <w:p w14:paraId="5DDEC0ED">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4、对于存在质量问题或者短少的产品，供应商应在接到采购人的通知2个日历日内负责修复，调换、重新制作或补齐。</w:t>
      </w:r>
    </w:p>
    <w:p w14:paraId="2C6534B5">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5、在最终验收后的质量保证期内，供应商应对设计、工艺或材料等的缺陷而产生的故障负责（负责解决并承担全部费用）。质保期满后如出现此类问题亦应负责。</w:t>
      </w:r>
    </w:p>
    <w:p w14:paraId="592D0866">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6、供应商及所投产品的生产厂商应承诺质保期、维保期的售后服务条款（包括具体的服务内容、故障响应时间、响应方式、维修措施及时限、维护响应计划等方面），未提供任何质保期、维保期的售后服务条款或提供的内容不实的以不实质性满足招标文件要求对待。</w:t>
      </w:r>
    </w:p>
    <w:p w14:paraId="7545D95A">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7、对于未按约定提供质保服务的供应商或违约的供应商，采购人将拒绝其参加采购人单位的政府采购项目。且采购人有权委托第三方进行维修，所产生的费用由供应商承担，采购人有权从质保金中直接扣除，不足部分应由供应商支付。</w:t>
      </w:r>
    </w:p>
    <w:p w14:paraId="347DAA37">
      <w:pPr>
        <w:keepNext/>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b/>
          <w:sz w:val="24"/>
          <w:szCs w:val="24"/>
          <w:highlight w:val="none"/>
          <w:lang w:val="zh-CN"/>
        </w:rPr>
      </w:pPr>
      <w:bookmarkStart w:id="18" w:name="_Toc19918"/>
      <w:bookmarkStart w:id="19" w:name="_Toc24652"/>
      <w:bookmarkStart w:id="20" w:name="_Toc521307616"/>
      <w:r>
        <w:rPr>
          <w:rFonts w:hint="eastAsia" w:ascii="宋体" w:hAnsi="宋体" w:eastAsia="宋体" w:cs="宋体"/>
          <w:b/>
          <w:sz w:val="24"/>
          <w:szCs w:val="24"/>
          <w:highlight w:val="none"/>
          <w:lang w:val="zh-CN"/>
        </w:rPr>
        <w:t>十、验收</w:t>
      </w:r>
      <w:bookmarkEnd w:id="18"/>
      <w:bookmarkEnd w:id="19"/>
      <w:bookmarkEnd w:id="20"/>
    </w:p>
    <w:p w14:paraId="11BCE3FA">
      <w:pPr>
        <w:keepLines w:val="0"/>
        <w:pageBreakBefore w:val="0"/>
        <w:kinsoku/>
        <w:wordWrap/>
        <w:overflowPunct/>
        <w:topLinePunct w:val="0"/>
        <w:autoSpaceDE/>
        <w:autoSpaceDN/>
        <w:bidi w:val="0"/>
        <w:spacing w:line="360" w:lineRule="auto"/>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由采购人对项目进行整体验收，供应商协助配合。其内容包括确认产品的产地、规格、型号和数量，对其产品技术指标、性能参数、样式、颜色、以及质量是否达到现行国家有关验收规范“合格”标准、是否按照采购人要求安装到位、是否按照采购人要求进行调试和提供相关培训、是否在规定时间内安装完毕、所有产品的配套包装是否完好无损等进行逐项检查。</w:t>
      </w:r>
    </w:p>
    <w:p w14:paraId="39CEF1EC">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1、所验产品的指标、性能参数最终验收达不到招标文件要求和磋商响应文件承诺的，或在使用中发现采购人不能容忍的缺陷等，将视为产品验收不合格，供应商应在采购人要求的时间内无条件免费更换或退货。</w:t>
      </w:r>
    </w:p>
    <w:p w14:paraId="0FD262AC">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2、若发现供应商有弄虚作假的，在投标阶段故意或随意夸大产品技术性能，供应商应无条件退货，本合同解除，供应商赔偿采购人相应的损失。</w:t>
      </w:r>
    </w:p>
    <w:p w14:paraId="74A3E852">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3、验收标准：按招标文件、磋商响应文件及澄清函等技术指标进行验收。各项指标均应符合验收标准及要求。</w:t>
      </w:r>
    </w:p>
    <w:p w14:paraId="1FCC2A01">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b/>
          <w:sz w:val="24"/>
          <w:szCs w:val="24"/>
          <w:highlight w:val="none"/>
        </w:rPr>
      </w:pPr>
      <w:r>
        <w:rPr>
          <w:rFonts w:hint="eastAsia" w:ascii="宋体" w:hAnsi="宋体" w:eastAsia="宋体" w:cs="宋体"/>
          <w:sz w:val="24"/>
          <w:szCs w:val="24"/>
          <w:highlight w:val="none"/>
        </w:rPr>
        <w:t>4、验收合格后，填写验收单，双方签字生效。</w:t>
      </w:r>
    </w:p>
    <w:p w14:paraId="42F0176E">
      <w:pPr>
        <w:keepNext/>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b/>
          <w:sz w:val="24"/>
          <w:szCs w:val="24"/>
          <w:highlight w:val="none"/>
          <w:lang w:val="zh-CN"/>
        </w:rPr>
      </w:pPr>
      <w:bookmarkStart w:id="21" w:name="_Toc521307617"/>
      <w:bookmarkStart w:id="22" w:name="_Toc31673"/>
      <w:bookmarkStart w:id="23" w:name="_Toc29771"/>
      <w:r>
        <w:rPr>
          <w:rFonts w:hint="eastAsia" w:ascii="宋体" w:hAnsi="宋体" w:eastAsia="宋体" w:cs="宋体"/>
          <w:b/>
          <w:sz w:val="24"/>
          <w:szCs w:val="24"/>
          <w:highlight w:val="none"/>
          <w:lang w:val="zh-CN"/>
        </w:rPr>
        <w:t>十</w:t>
      </w:r>
      <w:r>
        <w:rPr>
          <w:rFonts w:hint="eastAsia" w:ascii="宋体" w:hAnsi="宋体" w:cs="宋体"/>
          <w:b/>
          <w:sz w:val="24"/>
          <w:szCs w:val="24"/>
          <w:highlight w:val="none"/>
          <w:lang w:val="zh-CN"/>
        </w:rPr>
        <w:t>一</w:t>
      </w:r>
      <w:r>
        <w:rPr>
          <w:rFonts w:hint="eastAsia" w:ascii="宋体" w:hAnsi="宋体" w:eastAsia="宋体" w:cs="宋体"/>
          <w:b/>
          <w:sz w:val="24"/>
          <w:szCs w:val="24"/>
          <w:highlight w:val="none"/>
          <w:lang w:val="zh-CN"/>
        </w:rPr>
        <w:t>、保密</w:t>
      </w:r>
      <w:bookmarkEnd w:id="21"/>
      <w:bookmarkEnd w:id="22"/>
      <w:bookmarkEnd w:id="23"/>
    </w:p>
    <w:p w14:paraId="60460AE8">
      <w:pPr>
        <w:keepLines w:val="0"/>
        <w:pageBreakBefore w:val="0"/>
        <w:tabs>
          <w:tab w:val="left" w:pos="1080"/>
        </w:tabs>
        <w:kinsoku/>
        <w:wordWrap/>
        <w:overflowPunct/>
        <w:topLinePunct w:val="0"/>
        <w:autoSpaceDE/>
        <w:autoSpaceDN/>
        <w:bidi w:val="0"/>
        <w:spacing w:line="360" w:lineRule="auto"/>
        <w:ind w:firstLine="360" w:firstLineChars="15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对工作中了解到的采购人的技术、机密等进行严格保密，不得向他人泄漏。本合同的解除或终止不免除供应商应承担的保密义务。</w:t>
      </w:r>
    </w:p>
    <w:p w14:paraId="61F1305F">
      <w:pPr>
        <w:keepLines w:val="0"/>
        <w:pageBreakBefore w:val="0"/>
        <w:tabs>
          <w:tab w:val="left" w:pos="1080"/>
        </w:tabs>
        <w:kinsoku/>
        <w:wordWrap/>
        <w:overflowPunct/>
        <w:topLinePunct w:val="0"/>
        <w:autoSpaceDE/>
        <w:autoSpaceDN/>
        <w:bidi w:val="0"/>
        <w:spacing w:line="360" w:lineRule="auto"/>
        <w:ind w:firstLine="360" w:firstLineChars="150"/>
        <w:textAlignment w:val="auto"/>
        <w:outlineLvl w:val="9"/>
        <w:rPr>
          <w:rFonts w:hint="eastAsia" w:ascii="宋体" w:hAnsi="宋体" w:eastAsia="宋体" w:cs="宋体"/>
          <w:sz w:val="24"/>
          <w:szCs w:val="24"/>
          <w:highlight w:val="none"/>
        </w:rPr>
      </w:pPr>
      <w:bookmarkStart w:id="24" w:name="_Toc22873"/>
      <w:bookmarkStart w:id="25" w:name="_Toc521307618"/>
      <w:bookmarkStart w:id="26" w:name="_Toc3812"/>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val="zh-CN" w:eastAsia="zh-CN"/>
        </w:rPr>
        <w:t>知识产权</w:t>
      </w:r>
      <w:bookmarkEnd w:id="24"/>
      <w:bookmarkEnd w:id="25"/>
      <w:bookmarkEnd w:id="26"/>
      <w:r>
        <w:rPr>
          <w:rFonts w:hint="eastAsia" w:ascii="宋体" w:hAnsi="宋体" w:eastAsia="宋体" w:cs="宋体"/>
          <w:sz w:val="24"/>
          <w:szCs w:val="24"/>
          <w:highlight w:val="none"/>
          <w:lang w:val="zh-CN" w:eastAsia="zh-CN"/>
        </w:rPr>
        <w:t>，</w:t>
      </w:r>
      <w:r>
        <w:rPr>
          <w:rFonts w:hint="eastAsia" w:ascii="宋体" w:hAnsi="宋体" w:eastAsia="宋体" w:cs="宋体"/>
          <w:sz w:val="24"/>
          <w:szCs w:val="24"/>
          <w:highlight w:val="none"/>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14146159">
      <w:pPr>
        <w:keepNext/>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b/>
          <w:sz w:val="24"/>
          <w:szCs w:val="24"/>
          <w:highlight w:val="none"/>
          <w:lang w:val="zh-CN"/>
        </w:rPr>
      </w:pPr>
      <w:bookmarkStart w:id="27" w:name="_Toc521307619"/>
      <w:bookmarkStart w:id="28" w:name="_Toc11197"/>
      <w:bookmarkStart w:id="29" w:name="_Toc2446"/>
      <w:r>
        <w:rPr>
          <w:rFonts w:hint="eastAsia" w:ascii="宋体" w:hAnsi="宋体" w:eastAsia="宋体" w:cs="宋体"/>
          <w:b/>
          <w:sz w:val="24"/>
          <w:szCs w:val="24"/>
          <w:highlight w:val="none"/>
          <w:lang w:val="zh-CN"/>
        </w:rPr>
        <w:t>十</w:t>
      </w:r>
      <w:r>
        <w:rPr>
          <w:rFonts w:hint="eastAsia" w:ascii="宋体" w:hAnsi="宋体" w:cs="宋体"/>
          <w:b/>
          <w:sz w:val="24"/>
          <w:szCs w:val="24"/>
          <w:highlight w:val="none"/>
          <w:lang w:val="zh-CN"/>
        </w:rPr>
        <w:t>二</w:t>
      </w:r>
      <w:r>
        <w:rPr>
          <w:rFonts w:hint="eastAsia" w:ascii="宋体" w:hAnsi="宋体" w:eastAsia="宋体" w:cs="宋体"/>
          <w:b/>
          <w:sz w:val="24"/>
          <w:szCs w:val="24"/>
          <w:highlight w:val="none"/>
          <w:lang w:val="zh-CN"/>
        </w:rPr>
        <w:t>、合同争议的解决</w:t>
      </w:r>
      <w:bookmarkEnd w:id="27"/>
      <w:bookmarkEnd w:id="28"/>
      <w:bookmarkEnd w:id="29"/>
    </w:p>
    <w:p w14:paraId="5FC7EA0A">
      <w:pPr>
        <w:keepLines w:val="0"/>
        <w:pageBreakBefore w:val="0"/>
        <w:kinsoku/>
        <w:wordWrap/>
        <w:overflowPunct/>
        <w:topLinePunct w:val="0"/>
        <w:autoSpaceDE/>
        <w:autoSpaceDN/>
        <w:bidi w:val="0"/>
        <w:spacing w:line="360" w:lineRule="auto"/>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 xml:space="preserve"> 合同执行中发生争议的，当事人双方应协商解决。协商达不成一致时，可向当地行政仲裁机关申请仲裁或者向人民法院提请诉讼。</w:t>
      </w:r>
      <w:bookmarkStart w:id="30" w:name="_Toc32275"/>
      <w:bookmarkStart w:id="31" w:name="_Toc521307620"/>
      <w:bookmarkStart w:id="32" w:name="_Toc24578"/>
    </w:p>
    <w:p w14:paraId="5907F6A1">
      <w:pPr>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sz w:val="24"/>
          <w:szCs w:val="24"/>
          <w:highlight w:val="none"/>
        </w:rPr>
      </w:pPr>
      <w:r>
        <w:rPr>
          <w:rFonts w:hint="eastAsia" w:ascii="宋体" w:hAnsi="宋体" w:eastAsia="宋体" w:cs="宋体"/>
          <w:b/>
          <w:sz w:val="24"/>
          <w:szCs w:val="24"/>
          <w:highlight w:val="none"/>
          <w:lang w:val="en-US" w:eastAsia="zh-CN"/>
        </w:rPr>
        <w:t>2、</w:t>
      </w:r>
      <w:r>
        <w:rPr>
          <w:rFonts w:hint="eastAsia" w:ascii="宋体" w:hAnsi="宋体" w:eastAsia="宋体" w:cs="宋体"/>
          <w:sz w:val="24"/>
          <w:szCs w:val="24"/>
          <w:highlight w:val="none"/>
          <w:lang w:val="zh-CN"/>
        </w:rPr>
        <w:t>不可抗力情况下的免责约定</w:t>
      </w:r>
      <w:bookmarkEnd w:id="30"/>
      <w:bookmarkEnd w:id="31"/>
      <w:bookmarkEnd w:id="32"/>
      <w:r>
        <w:rPr>
          <w:rFonts w:hint="eastAsia" w:ascii="宋体" w:hAnsi="宋体" w:eastAsia="宋体" w:cs="宋体"/>
          <w:sz w:val="24"/>
          <w:szCs w:val="24"/>
          <w:highlight w:val="none"/>
          <w:lang w:val="zh-CN"/>
        </w:rPr>
        <w:t>，</w:t>
      </w:r>
      <w:r>
        <w:rPr>
          <w:rFonts w:hint="eastAsia" w:ascii="宋体" w:hAnsi="宋体" w:eastAsia="宋体" w:cs="宋体"/>
          <w:sz w:val="24"/>
          <w:szCs w:val="24"/>
          <w:highlight w:val="none"/>
        </w:rPr>
        <w:t>双方约定不可抗力情况指：双方不可预见、不可避免、不可克服的客观情况，但不包括双方的违约或疏忽。这些事件包括但不限于：战争、严重火灾、洪水、台风、地震等。</w:t>
      </w:r>
    </w:p>
    <w:p w14:paraId="19F4A4F5">
      <w:pPr>
        <w:keepNext/>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bookmarkStart w:id="33" w:name="_Toc22498"/>
      <w:bookmarkStart w:id="34" w:name="_Toc18591"/>
      <w:bookmarkStart w:id="35" w:name="_Toc521307621"/>
      <w:r>
        <w:rPr>
          <w:rFonts w:hint="eastAsia" w:ascii="宋体" w:hAnsi="宋体" w:cs="宋体"/>
          <w:sz w:val="24"/>
          <w:szCs w:val="24"/>
          <w:highlight w:val="none"/>
          <w:lang w:val="en-US" w:eastAsia="zh-CN"/>
        </w:rPr>
        <w:t>3</w:t>
      </w:r>
      <w:r>
        <w:rPr>
          <w:rFonts w:hint="eastAsia" w:ascii="宋体" w:hAnsi="宋体" w:eastAsia="宋体" w:cs="宋体"/>
          <w:sz w:val="24"/>
          <w:szCs w:val="24"/>
          <w:highlight w:val="none"/>
          <w:lang w:val="zh-CN"/>
        </w:rPr>
        <w:t>、违约责任</w:t>
      </w:r>
      <w:bookmarkEnd w:id="33"/>
      <w:bookmarkEnd w:id="34"/>
      <w:bookmarkEnd w:id="35"/>
      <w:r>
        <w:rPr>
          <w:rFonts w:hint="eastAsia" w:ascii="宋体" w:hAnsi="宋体" w:eastAsia="宋体" w:cs="宋体"/>
          <w:sz w:val="24"/>
          <w:szCs w:val="24"/>
          <w:highlight w:val="none"/>
          <w:lang w:val="zh-CN"/>
        </w:rPr>
        <w:t>；</w:t>
      </w:r>
    </w:p>
    <w:p w14:paraId="2166ED27">
      <w:pPr>
        <w:keepNext/>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3</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供应商应按照合同规定的期限完成供货及安装、调试、验收，若不能按期完成，情节严重的采购人有权解除合同，并视情节处以不低于合同价款30%的违约金，同时追究供应商的违约责任。</w:t>
      </w:r>
    </w:p>
    <w:p w14:paraId="1E03D94A">
      <w:pPr>
        <w:keepLines w:val="0"/>
        <w:pageBreakBefore w:val="0"/>
        <w:kinsoku/>
        <w:wordWrap/>
        <w:overflowPunct/>
        <w:topLinePunct w:val="0"/>
        <w:autoSpaceDE/>
        <w:autoSpaceDN/>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3</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2、双方中任何一方违反本合同保密条款的，应当向对方支付违约金。</w:t>
      </w:r>
    </w:p>
    <w:p w14:paraId="57A484BA">
      <w:pPr>
        <w:keepLines w:val="0"/>
        <w:pageBreakBefore w:val="0"/>
        <w:kinsoku/>
        <w:wordWrap/>
        <w:overflowPunct/>
        <w:topLinePunct w:val="0"/>
        <w:autoSpaceDE/>
        <w:autoSpaceDN/>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3</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3、供应商向采购人保证，其在向采购人提交合同约定的产品之前对合同约定的全部产品享有完全的知识产权及所有权，并保证该产品在交付采购人使用后没有任何权属纠纷，如在采购人使用该产品的过程中出现任何权属纠纷，均由供应商承担全部责任，供应商还应向采购人承担合同总价款 1 %的违约金，违约金不足以弥补给采购人造成的损失的，供应商还应当承担补足责任。</w:t>
      </w:r>
    </w:p>
    <w:p w14:paraId="47A0793F">
      <w:pPr>
        <w:keepLines w:val="0"/>
        <w:pageBreakBefore w:val="0"/>
        <w:kinsoku/>
        <w:wordWrap/>
        <w:overflowPunct/>
        <w:topLinePunct w:val="0"/>
        <w:autoSpaceDE/>
        <w:autoSpaceDN/>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3</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4、合同成立后，在任何一方无实质违约的情况下，未经相对方书面允许，任何一方不得单方撤销、中止、终止履行合同。</w:t>
      </w:r>
    </w:p>
    <w:p w14:paraId="50446FDF">
      <w:pPr>
        <w:keepNext/>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b/>
          <w:sz w:val="24"/>
          <w:szCs w:val="24"/>
          <w:highlight w:val="none"/>
          <w:lang w:val="zh-CN"/>
        </w:rPr>
      </w:pPr>
      <w:bookmarkStart w:id="36" w:name="_Toc11581"/>
      <w:bookmarkStart w:id="37" w:name="_Toc521307622"/>
      <w:bookmarkStart w:id="38" w:name="_Toc12230"/>
      <w:r>
        <w:rPr>
          <w:rFonts w:hint="eastAsia" w:ascii="宋体" w:hAnsi="宋体" w:eastAsia="宋体" w:cs="宋体"/>
          <w:b/>
          <w:sz w:val="24"/>
          <w:szCs w:val="24"/>
          <w:highlight w:val="none"/>
          <w:lang w:val="zh-CN"/>
        </w:rPr>
        <w:t>十</w:t>
      </w:r>
      <w:r>
        <w:rPr>
          <w:rFonts w:hint="eastAsia" w:ascii="宋体" w:hAnsi="宋体" w:cs="宋体"/>
          <w:b/>
          <w:sz w:val="24"/>
          <w:szCs w:val="24"/>
          <w:highlight w:val="none"/>
          <w:lang w:val="zh-CN"/>
        </w:rPr>
        <w:t>三</w:t>
      </w:r>
      <w:r>
        <w:rPr>
          <w:rFonts w:hint="eastAsia" w:ascii="宋体" w:hAnsi="宋体" w:eastAsia="宋体" w:cs="宋体"/>
          <w:b/>
          <w:sz w:val="24"/>
          <w:szCs w:val="24"/>
          <w:highlight w:val="none"/>
          <w:lang w:val="zh-CN"/>
        </w:rPr>
        <w:t>、合同订立</w:t>
      </w:r>
      <w:bookmarkEnd w:id="36"/>
      <w:bookmarkEnd w:id="37"/>
      <w:bookmarkEnd w:id="38"/>
    </w:p>
    <w:p w14:paraId="03227F48">
      <w:pPr>
        <w:keepLines w:val="0"/>
        <w:pageBreakBefore w:val="0"/>
        <w:kinsoku/>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 订立时间：     年   月     日。</w:t>
      </w:r>
    </w:p>
    <w:p w14:paraId="131234E2">
      <w:pPr>
        <w:keepLines w:val="0"/>
        <w:pageBreakBefore w:val="0"/>
        <w:kinsoku/>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 本合同一式 陆 份，具有同等法律效力，双方各执 叁 份。各方签字盖章后生效，合同执行完毕自动失效。（合同的服务承诺则长期有效）。</w:t>
      </w:r>
    </w:p>
    <w:p w14:paraId="33A7B7B0">
      <w:pPr>
        <w:pageBreakBefore w:val="0"/>
        <w:kinsoku/>
        <w:topLinePunct w:val="0"/>
        <w:bidi w:val="0"/>
        <w:adjustRightInd w:val="0"/>
        <w:snapToGrid w:val="0"/>
        <w:spacing w:line="360" w:lineRule="auto"/>
        <w:ind w:firstLine="475" w:firstLineChars="198"/>
        <w:rPr>
          <w:rFonts w:hint="eastAsia" w:ascii="宋体" w:hAnsi="宋体" w:eastAsia="宋体" w:cs="宋体"/>
          <w:sz w:val="24"/>
          <w:szCs w:val="24"/>
          <w:highlight w:val="none"/>
        </w:rPr>
      </w:pPr>
      <w:r>
        <w:rPr>
          <w:rFonts w:hint="eastAsia" w:ascii="宋体" w:hAnsi="宋体" w:eastAsia="宋体" w:cs="宋体"/>
          <w:sz w:val="24"/>
          <w:szCs w:val="24"/>
          <w:highlight w:val="none"/>
        </w:rPr>
        <w:t>（以下无正文）</w:t>
      </w:r>
    </w:p>
    <w:p w14:paraId="52C302B8">
      <w:pPr>
        <w:pStyle w:val="2"/>
        <w:pageBreakBefore w:val="0"/>
        <w:kinsoku/>
        <w:topLinePunct w:val="0"/>
        <w:bidi w:val="0"/>
        <w:spacing w:line="360" w:lineRule="auto"/>
        <w:rPr>
          <w:rFonts w:hint="eastAsia" w:ascii="宋体" w:hAnsi="宋体" w:eastAsia="宋体" w:cs="宋体"/>
          <w:sz w:val="24"/>
          <w:szCs w:val="24"/>
          <w:highlight w:val="none"/>
        </w:rPr>
      </w:pPr>
    </w:p>
    <w:p w14:paraId="5B9C4118">
      <w:pPr>
        <w:pageBreakBefore w:val="0"/>
        <w:kinsoku/>
        <w:topLinePunct w:val="0"/>
        <w:bidi w:val="0"/>
        <w:adjustRightInd w:val="0"/>
        <w:snapToGrid w:val="0"/>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采购人：                         供应商：                            </w:t>
      </w:r>
    </w:p>
    <w:p w14:paraId="6758BBE8">
      <w:pPr>
        <w:pageBreakBefore w:val="0"/>
        <w:kinsoku/>
        <w:topLinePunct w:val="0"/>
        <w:bidi w:val="0"/>
        <w:adjustRightInd w:val="0"/>
        <w:snapToGrid w:val="0"/>
        <w:spacing w:line="360" w:lineRule="auto"/>
        <w:rPr>
          <w:rFonts w:hint="eastAsia" w:ascii="宋体" w:hAnsi="宋体" w:eastAsia="宋体" w:cs="宋体"/>
          <w:sz w:val="24"/>
          <w:szCs w:val="24"/>
          <w:highlight w:val="none"/>
        </w:rPr>
      </w:pPr>
    </w:p>
    <w:p w14:paraId="0C02A808">
      <w:pPr>
        <w:pageBreakBefore w:val="0"/>
        <w:kinsoku/>
        <w:topLinePunct w:val="0"/>
        <w:bidi w:val="0"/>
        <w:adjustRightInd w:val="0"/>
        <w:snapToGrid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法定代表人或其授权               法定代表人或其授权  </w:t>
      </w:r>
    </w:p>
    <w:p w14:paraId="582A182B">
      <w:pPr>
        <w:pageBreakBefore w:val="0"/>
        <w:kinsoku/>
        <w:topLinePunct w:val="0"/>
        <w:bidi w:val="0"/>
        <w:adjustRightInd w:val="0"/>
        <w:snapToGrid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的代理人：                               的代理人：      </w:t>
      </w:r>
    </w:p>
    <w:p w14:paraId="07B5D9B0">
      <w:pPr>
        <w:pageBreakBefore w:val="0"/>
        <w:kinsoku/>
        <w:topLinePunct w:val="0"/>
        <w:bidi w:val="0"/>
        <w:adjustRightInd w:val="0"/>
        <w:snapToGrid w:val="0"/>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开户银行：                               开户银行：                          </w:t>
      </w:r>
      <w:r>
        <w:rPr>
          <w:rStyle w:val="5"/>
          <w:rFonts w:hint="eastAsia" w:ascii="宋体" w:hAnsi="宋体" w:eastAsia="宋体" w:cs="宋体"/>
          <w:color w:val="auto"/>
          <w:sz w:val="24"/>
          <w:szCs w:val="24"/>
          <w:highlight w:val="none"/>
        </w:rPr>
        <w:t xml:space="preserve">  </w:t>
      </w:r>
      <w:r>
        <w:rPr>
          <w:rFonts w:hint="eastAsia" w:ascii="宋体" w:hAnsi="宋体" w:eastAsia="宋体" w:cs="宋体"/>
          <w:sz w:val="24"/>
          <w:szCs w:val="24"/>
          <w:highlight w:val="none"/>
        </w:rPr>
        <w:t xml:space="preserve">                                    </w:t>
      </w:r>
    </w:p>
    <w:p w14:paraId="0840DE62">
      <w:pPr>
        <w:pageBreakBefore w:val="0"/>
        <w:kinsoku/>
        <w:topLinePunct w:val="0"/>
        <w:bidi w:val="0"/>
        <w:adjustRightInd w:val="0"/>
        <w:snapToGrid w:val="0"/>
        <w:spacing w:line="360" w:lineRule="auto"/>
        <w:ind w:left="4080" w:hanging="4080" w:hangingChars="17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电子邮箱：                               电子邮箱：    </w:t>
      </w:r>
    </w:p>
    <w:p w14:paraId="6827740F">
      <w:pPr>
        <w:pageBreakBefore w:val="0"/>
        <w:kinsoku/>
        <w:topLinePunct w:val="0"/>
        <w:bidi w:val="0"/>
        <w:adjustRightInd w:val="0"/>
        <w:snapToGrid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账号：                                       账号：   </w:t>
      </w:r>
    </w:p>
    <w:p w14:paraId="12838789">
      <w:pPr>
        <w:pageBreakBefore w:val="0"/>
        <w:kinsoku/>
        <w:topLinePunct w:val="0"/>
        <w:bidi w:val="0"/>
        <w:adjustRightInd w:val="0"/>
        <w:snapToGrid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电话：                                       电话：       </w:t>
      </w:r>
    </w:p>
    <w:p w14:paraId="0228400D">
      <w:r>
        <w:rPr>
          <w:rFonts w:hint="eastAsia" w:ascii="宋体" w:hAnsi="宋体" w:eastAsia="宋体" w:cs="宋体"/>
          <w:sz w:val="24"/>
          <w:szCs w:val="24"/>
          <w:highlight w:val="none"/>
        </w:rPr>
        <w:t>传真：                                       传真：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0AFF" w:usb1="00007843" w:usb2="00000001" w:usb3="00000000" w:csb0="400001BF" w:csb1="DFF7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ngLiU">
    <w:panose1 w:val="02020509000000000000"/>
    <w:charset w:val="88"/>
    <w:family w:val="auto"/>
    <w:pitch w:val="default"/>
    <w:sig w:usb0="A00002FF" w:usb1="28CFFCFA" w:usb2="00000016" w:usb3="00000000" w:csb0="0010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KSZYQTCDHG0_20_0">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KSHAUUWXPJ0_22_0">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0F74EC"/>
    <w:rsid w:val="22AE7D4A"/>
    <w:rsid w:val="400F74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character" w:customStyle="1" w:styleId="5">
    <w:name w:val="font21"/>
    <w:basedOn w:val="4"/>
    <w:qFormat/>
    <w:uiPriority w:val="0"/>
    <w:rPr>
      <w:rFonts w:hint="eastAsia" w:ascii="MingLiU" w:hAnsi="MingLiU" w:eastAsia="MingLiU" w:cs="MingLiU"/>
      <w:color w:val="000000"/>
      <w:sz w:val="36"/>
      <w:szCs w:val="36"/>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3743</Words>
  <Characters>3798</Characters>
  <Lines>0</Lines>
  <Paragraphs>0</Paragraphs>
  <TotalTime>5</TotalTime>
  <ScaleCrop>false</ScaleCrop>
  <LinksUpToDate>false</LinksUpToDate>
  <CharactersWithSpaces>4368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2025-07-11T14:55:00Z</dcterms:created>
  <dc:creator>肖先生</dc:creator>
  <cp:lastModifiedBy>白雅楠</cp:lastModifiedBy>
  <dcterms:modified xsi:type="dcterms:W3CDTF">2025-08-18T12:11:23Z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C53160CCCF504CBD8AE791378DF2A789_11</vt:lpwstr>
  </property>
  <property fmtid="{D5CDD505-2E9C-101B-9397-08002B2CF9AE}" pid="4" name="KSOTemplateDocerSaveRecord">
    <vt:lpwstr>eyJoZGlkIjoiYTBlYjE2NzlhYjFkNThmZmU3ODU5NWU1MmM5ZTUxYzciLCJ1c2VySWQiOiIzMjA1MDk5NDIifQ==</vt:lpwstr>
  </property>
</Properties>
</file>