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9309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354016A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767CA2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0303B73B">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竞争性磋商</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p>
    <w:p w14:paraId="5FC941E6">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4615E70F">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1ABC8FA9">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1134"/>
        <w:gridCol w:w="1249"/>
        <w:gridCol w:w="675"/>
        <w:gridCol w:w="1134"/>
        <w:gridCol w:w="675"/>
        <w:gridCol w:w="1363"/>
        <w:gridCol w:w="1249"/>
      </w:tblGrid>
      <w:tr w14:paraId="51A65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8" w:type="pct"/>
            <w:tcBorders>
              <w:top w:val="single" w:color="auto" w:sz="12" w:space="0"/>
              <w:left w:val="single" w:color="auto" w:sz="12" w:space="0"/>
              <w:bottom w:val="single" w:color="auto" w:sz="4" w:space="0"/>
              <w:right w:val="single" w:color="auto" w:sz="4" w:space="0"/>
            </w:tcBorders>
            <w:noWrap/>
            <w:vAlign w:val="center"/>
          </w:tcPr>
          <w:p w14:paraId="25BD317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0" w:name="_Toc30936"/>
            <w:bookmarkStart w:id="1" w:name="_Toc731"/>
            <w:bookmarkStart w:id="2" w:name="_Toc8098"/>
            <w:bookmarkStart w:id="3" w:name="_Toc11029"/>
            <w:bookmarkStart w:id="4" w:name="_Toc12862"/>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28" w:type="pct"/>
            <w:tcBorders>
              <w:top w:val="single" w:color="auto" w:sz="12" w:space="0"/>
              <w:left w:val="single" w:color="auto" w:sz="4" w:space="0"/>
              <w:bottom w:val="single" w:color="auto" w:sz="4" w:space="0"/>
              <w:right w:val="single" w:color="auto" w:sz="4" w:space="0"/>
            </w:tcBorders>
            <w:noWrap/>
            <w:vAlign w:val="center"/>
          </w:tcPr>
          <w:p w14:paraId="356D7CC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5" w:name="_Toc10937"/>
            <w:bookmarkStart w:id="6" w:name="_Toc18138"/>
            <w:bookmarkStart w:id="7" w:name="_Toc12848"/>
            <w:bookmarkStart w:id="8" w:name="_Toc14606"/>
            <w:bookmarkStart w:id="9" w:name="_Toc11846"/>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63" w:type="pct"/>
            <w:tcBorders>
              <w:top w:val="single" w:color="auto" w:sz="12" w:space="0"/>
              <w:left w:val="single" w:color="auto" w:sz="4" w:space="0"/>
              <w:bottom w:val="single" w:color="auto" w:sz="4" w:space="0"/>
              <w:right w:val="single" w:color="auto" w:sz="4" w:space="0"/>
            </w:tcBorders>
            <w:noWrap/>
            <w:vAlign w:val="center"/>
          </w:tcPr>
          <w:p w14:paraId="731148B4">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0" w:name="_Toc10792"/>
            <w:bookmarkStart w:id="11" w:name="_Toc11018"/>
            <w:bookmarkStart w:id="12" w:name="_Toc30052"/>
            <w:bookmarkStart w:id="13" w:name="_Toc32341"/>
            <w:bookmarkStart w:id="14" w:name="_Toc24749"/>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99" w:type="pct"/>
            <w:tcBorders>
              <w:top w:val="single" w:color="auto" w:sz="12" w:space="0"/>
              <w:left w:val="single" w:color="auto" w:sz="4" w:space="0"/>
              <w:bottom w:val="single" w:color="auto" w:sz="4" w:space="0"/>
              <w:right w:val="single" w:color="auto" w:sz="4" w:space="0"/>
            </w:tcBorders>
            <w:noWrap/>
            <w:vAlign w:val="center"/>
          </w:tcPr>
          <w:p w14:paraId="16C882E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5" w:name="_Toc18279"/>
            <w:bookmarkStart w:id="16" w:name="_Toc23775"/>
            <w:bookmarkStart w:id="17" w:name="_Toc30994"/>
            <w:bookmarkStart w:id="18" w:name="_Toc2505"/>
            <w:bookmarkStart w:id="19" w:name="_Toc31993"/>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432" w:type="pct"/>
            <w:tcBorders>
              <w:top w:val="single" w:color="auto" w:sz="12" w:space="0"/>
              <w:left w:val="single" w:color="auto" w:sz="4" w:space="0"/>
              <w:bottom w:val="single" w:color="auto" w:sz="4" w:space="0"/>
              <w:right w:val="single" w:color="auto" w:sz="4" w:space="0"/>
            </w:tcBorders>
            <w:noWrap/>
            <w:vAlign w:val="center"/>
          </w:tcPr>
          <w:p w14:paraId="7E910D9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0" w:name="_Toc8038"/>
            <w:bookmarkStart w:id="21" w:name="_Toc20736"/>
            <w:bookmarkStart w:id="22" w:name="_Toc19146"/>
            <w:bookmarkStart w:id="23" w:name="_Toc16809"/>
            <w:bookmarkStart w:id="24" w:name="_Toc28515"/>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443" w:type="pct"/>
            <w:tcBorders>
              <w:top w:val="single" w:color="auto" w:sz="12" w:space="0"/>
              <w:left w:val="single" w:color="auto" w:sz="4" w:space="0"/>
              <w:bottom w:val="single" w:color="auto" w:sz="4" w:space="0"/>
              <w:right w:val="single" w:color="auto" w:sz="4" w:space="0"/>
            </w:tcBorders>
            <w:noWrap/>
            <w:vAlign w:val="center"/>
          </w:tcPr>
          <w:p w14:paraId="3BD00F8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5" w:name="_Toc12530"/>
            <w:bookmarkStart w:id="26" w:name="_Toc21245"/>
            <w:bookmarkStart w:id="27" w:name="_Toc9385"/>
            <w:bookmarkStart w:id="28" w:name="_Toc13868"/>
            <w:bookmarkStart w:id="29" w:name="_Toc8453"/>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1" w:type="pct"/>
            <w:tcBorders>
              <w:top w:val="single" w:color="auto" w:sz="12" w:space="0"/>
              <w:left w:val="single" w:color="auto" w:sz="4" w:space="0"/>
              <w:bottom w:val="single" w:color="auto" w:sz="4" w:space="0"/>
              <w:right w:val="single" w:color="auto" w:sz="4" w:space="0"/>
            </w:tcBorders>
            <w:noWrap/>
            <w:vAlign w:val="center"/>
          </w:tcPr>
          <w:p w14:paraId="5C9EF7D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0" w:name="_Toc25464"/>
            <w:bookmarkStart w:id="31" w:name="_Toc26700"/>
            <w:bookmarkStart w:id="32" w:name="_Toc31770"/>
            <w:bookmarkStart w:id="33" w:name="_Toc13771"/>
            <w:bookmarkStart w:id="34" w:name="_Toc2753"/>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538" w:type="pct"/>
            <w:tcBorders>
              <w:top w:val="single" w:color="auto" w:sz="12" w:space="0"/>
              <w:left w:val="single" w:color="auto" w:sz="4" w:space="0"/>
              <w:bottom w:val="single" w:color="auto" w:sz="4" w:space="0"/>
              <w:right w:val="single" w:color="auto" w:sz="4" w:space="0"/>
            </w:tcBorders>
            <w:noWrap/>
            <w:vAlign w:val="center"/>
          </w:tcPr>
          <w:p w14:paraId="0462061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5" w:name="_Toc18214"/>
            <w:bookmarkStart w:id="36" w:name="_Toc1099"/>
            <w:bookmarkStart w:id="37" w:name="_Toc12281"/>
            <w:bookmarkStart w:id="38" w:name="_Toc13068"/>
            <w:bookmarkStart w:id="39" w:name="_Toc8363"/>
            <w:r>
              <w:rPr>
                <w:rFonts w:hint="eastAsia" w:asciiTheme="minorEastAsia" w:hAnsiTheme="minorEastAsia" w:eastAsiaTheme="minorEastAsia" w:cstheme="minorEastAsia"/>
                <w:color w:val="000000"/>
                <w:kern w:val="2"/>
                <w:sz w:val="24"/>
                <w:szCs w:val="24"/>
                <w:highlight w:val="none"/>
              </w:rPr>
              <w:t>单价（元）</w:t>
            </w:r>
            <w:bookmarkEnd w:id="35"/>
            <w:bookmarkEnd w:id="36"/>
            <w:bookmarkEnd w:id="37"/>
            <w:bookmarkEnd w:id="38"/>
            <w:bookmarkEnd w:id="39"/>
          </w:p>
        </w:tc>
        <w:tc>
          <w:tcPr>
            <w:tcW w:w="862" w:type="pct"/>
            <w:tcBorders>
              <w:top w:val="single" w:color="auto" w:sz="12" w:space="0"/>
              <w:left w:val="single" w:color="auto" w:sz="4" w:space="0"/>
              <w:bottom w:val="single" w:color="auto" w:sz="4" w:space="0"/>
              <w:right w:val="single" w:color="auto" w:sz="12" w:space="0"/>
            </w:tcBorders>
            <w:noWrap/>
            <w:vAlign w:val="center"/>
          </w:tcPr>
          <w:p w14:paraId="5138D1DC">
            <w:pPr>
              <w:pageBreakBefore w:val="0"/>
              <w:kinsoku/>
              <w:wordWrap/>
              <w:overflowPunct/>
              <w:topLinePunct w:val="0"/>
              <w:autoSpaceDE/>
              <w:autoSpaceDN/>
              <w:bidi w:val="0"/>
              <w:adjustRightInd/>
              <w:spacing w:before="0"/>
              <w:ind w:left="207" w:hanging="235" w:hangingChars="98"/>
              <w:jc w:val="both"/>
              <w:outlineLvl w:val="9"/>
              <w:rPr>
                <w:rFonts w:hint="eastAsia" w:asciiTheme="minorEastAsia" w:hAnsiTheme="minorEastAsia" w:eastAsiaTheme="minorEastAsia" w:cstheme="minorEastAsia"/>
                <w:color w:val="000000"/>
                <w:kern w:val="2"/>
                <w:sz w:val="24"/>
                <w:szCs w:val="24"/>
                <w:highlight w:val="none"/>
              </w:rPr>
            </w:pPr>
            <w:bookmarkStart w:id="40" w:name="_Toc30167"/>
            <w:bookmarkStart w:id="41" w:name="_Toc32252"/>
            <w:bookmarkStart w:id="42" w:name="_Toc16235"/>
            <w:bookmarkStart w:id="43" w:name="_Toc3069"/>
            <w:bookmarkStart w:id="44" w:name="_Toc23208"/>
            <w:r>
              <w:rPr>
                <w:rFonts w:hint="eastAsia" w:asciiTheme="minorEastAsia" w:hAnsiTheme="minorEastAsia" w:eastAsiaTheme="minorEastAsia" w:cstheme="minorEastAsia"/>
                <w:color w:val="000000"/>
                <w:kern w:val="2"/>
                <w:sz w:val="24"/>
                <w:szCs w:val="24"/>
                <w:highlight w:val="none"/>
              </w:rPr>
              <w:t>金额 (元)</w:t>
            </w:r>
            <w:bookmarkEnd w:id="40"/>
            <w:bookmarkEnd w:id="41"/>
            <w:bookmarkEnd w:id="42"/>
            <w:bookmarkEnd w:id="43"/>
            <w:bookmarkEnd w:id="44"/>
          </w:p>
        </w:tc>
      </w:tr>
      <w:tr w14:paraId="79B6AA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081EB6F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E30BEC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25A8D1D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013504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C201D9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5FD2E02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69A9B27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58C7F2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3329B36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2B5A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9CF33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F05D1C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63C23F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F6AA00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EBB11F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6B11A4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835ED2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0AD2A9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436671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D2B0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3C4C9D8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B27338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3C2F49C">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2C987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0024B3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2977E3A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30B2A2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5D70A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0FC8223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17E81D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39AFA4C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0D4541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9AE120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463DF8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F1C305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68B19AF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80DC29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69D95A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200A75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3D13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2EEBF4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6188E5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7FDC29D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1785BB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B6CB9E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50A8E38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746491B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59CFA89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230DD1A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CE6B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4AD6498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29B931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7388BEB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840D75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3085B1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76668AD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8C0BDA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8803F6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730B671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B7055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8" w:type="pct"/>
            <w:tcBorders>
              <w:top w:val="single" w:color="auto" w:sz="4" w:space="0"/>
              <w:left w:val="single" w:color="auto" w:sz="12" w:space="0"/>
              <w:bottom w:val="single" w:color="auto" w:sz="12" w:space="0"/>
              <w:right w:val="single" w:color="auto" w:sz="4" w:space="0"/>
            </w:tcBorders>
            <w:noWrap/>
            <w:vAlign w:val="top"/>
          </w:tcPr>
          <w:p w14:paraId="20E4EA7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12" w:space="0"/>
              <w:right w:val="single" w:color="auto" w:sz="4" w:space="0"/>
            </w:tcBorders>
            <w:noWrap/>
            <w:vAlign w:val="center"/>
          </w:tcPr>
          <w:p w14:paraId="6B428A7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32106"/>
            <w:bookmarkStart w:id="46" w:name="_Toc19191"/>
            <w:bookmarkStart w:id="47" w:name="_Toc19124"/>
            <w:bookmarkStart w:id="48" w:name="_Toc21829"/>
            <w:bookmarkStart w:id="49" w:name="_Toc29310"/>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00" w:type="pct"/>
            <w:gridSpan w:val="5"/>
            <w:tcBorders>
              <w:top w:val="single" w:color="auto" w:sz="4" w:space="0"/>
              <w:left w:val="single" w:color="auto" w:sz="4" w:space="0"/>
              <w:bottom w:val="single" w:color="auto" w:sz="12" w:space="0"/>
              <w:right w:val="single" w:color="auto" w:sz="4" w:space="0"/>
            </w:tcBorders>
            <w:noWrap/>
            <w:vAlign w:val="center"/>
          </w:tcPr>
          <w:p w14:paraId="22CB6CB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2960"/>
            <w:bookmarkStart w:id="51" w:name="_Toc25331"/>
            <w:bookmarkStart w:id="52" w:name="_Toc17082"/>
            <w:bookmarkStart w:id="53" w:name="_Toc4152"/>
            <w:bookmarkStart w:id="54" w:name="_Toc14595"/>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1" w:type="pct"/>
            <w:gridSpan w:val="2"/>
            <w:tcBorders>
              <w:top w:val="single" w:color="auto" w:sz="4" w:space="0"/>
              <w:left w:val="single" w:color="auto" w:sz="4" w:space="0"/>
              <w:bottom w:val="single" w:color="auto" w:sz="12" w:space="0"/>
              <w:right w:val="single" w:color="auto" w:sz="12" w:space="0"/>
            </w:tcBorders>
            <w:noWrap/>
            <w:vAlign w:val="center"/>
          </w:tcPr>
          <w:p w14:paraId="3CF7BD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7999"/>
            <w:bookmarkStart w:id="56" w:name="_Toc10954"/>
            <w:bookmarkStart w:id="57" w:name="_Toc13206"/>
            <w:bookmarkStart w:id="58" w:name="_Toc28580"/>
            <w:bookmarkStart w:id="59" w:name="_Toc29773"/>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7FBBCC5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670DE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7E4E84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磋商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val="en-US" w:eastAsia="zh-CN"/>
        </w:rPr>
        <w:t>售后、</w:t>
      </w:r>
      <w:r>
        <w:rPr>
          <w:rFonts w:hint="eastAsia" w:asciiTheme="minorEastAsia" w:hAnsiTheme="minorEastAsia" w:eastAsiaTheme="minorEastAsia" w:cstheme="minorEastAsia"/>
          <w:sz w:val="24"/>
          <w:szCs w:val="24"/>
          <w:highlight w:val="none"/>
        </w:rPr>
        <w:t>招标代理服务费、政策性文件规定的各项应有费用等其他一切相关费用。供应商所报的价格应考虑到可能发生的所有与完成本次磋商相关货物、服务及履行合同义务有关的一切费用。</w:t>
      </w:r>
      <w:bookmarkEnd w:id="62"/>
    </w:p>
    <w:p w14:paraId="32798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59BCE2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6C842DB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4ADC4A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bookmarkStart w:id="65" w:name="_Toc4711"/>
      <w:r>
        <w:rPr>
          <w:rFonts w:hint="eastAsia" w:asciiTheme="minorEastAsia" w:hAnsiTheme="minorEastAsia" w:eastAsiaTheme="minorEastAsia" w:cstheme="minorEastAsia"/>
          <w:color w:val="auto"/>
          <w:sz w:val="24"/>
          <w:szCs w:val="24"/>
          <w:highlight w:val="none"/>
        </w:rPr>
        <w:t>货物（产品）按下列比例支付价款：</w:t>
      </w:r>
      <w:bookmarkEnd w:id="65"/>
      <w:r>
        <w:rPr>
          <w:rFonts w:hint="eastAsia" w:asciiTheme="minorEastAsia" w:hAnsiTheme="minorEastAsia" w:eastAsiaTheme="minorEastAsia" w:cstheme="minorEastAsia"/>
          <w:color w:val="auto"/>
          <w:sz w:val="24"/>
          <w:szCs w:val="24"/>
          <w:highlight w:val="none"/>
          <w:lang w:val="en-US" w:eastAsia="zh-CN"/>
        </w:rPr>
        <w:t xml:space="preserve"> 合同签订后 ，达到付款条件起30日</w:t>
      </w:r>
      <w:r>
        <w:rPr>
          <w:rFonts w:hint="eastAsia" w:asciiTheme="minorEastAsia" w:hAnsiTheme="minorEastAsia" w:eastAsiaTheme="minorEastAsia" w:cstheme="minorEastAsia"/>
          <w:color w:val="auto"/>
          <w:sz w:val="24"/>
          <w:szCs w:val="24"/>
          <w:highlight w:val="none"/>
          <w:lang w:val="en-US" w:eastAsia="zh-CN"/>
        </w:rPr>
        <w:t>内，支付合同总金额的 100.00%</w:t>
      </w:r>
      <w:r>
        <w:rPr>
          <w:rFonts w:hint="eastAsia" w:asciiTheme="minorEastAsia" w:hAnsiTheme="minorEastAsia" w:eastAsiaTheme="minorEastAsia" w:cstheme="minorEastAsia"/>
          <w:color w:val="auto"/>
          <w:sz w:val="24"/>
          <w:szCs w:val="24"/>
          <w:highlight w:val="none"/>
        </w:rPr>
        <w:t>。</w:t>
      </w:r>
    </w:p>
    <w:p w14:paraId="5F83B4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18101A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6" w:name="_Toc10542"/>
      <w:r>
        <w:rPr>
          <w:rFonts w:hint="eastAsia" w:asciiTheme="minorEastAsia" w:hAnsiTheme="minorEastAsia" w:eastAsiaTheme="minorEastAsia" w:cstheme="minorEastAsia"/>
          <w:sz w:val="24"/>
          <w:szCs w:val="24"/>
          <w:highlight w:val="none"/>
        </w:rPr>
        <w:t>3、结算方式：银行转账。</w:t>
      </w:r>
      <w:bookmarkEnd w:id="66"/>
    </w:p>
    <w:p w14:paraId="6FD79C78">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5F5030E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6B65EFC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49366F5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31DB9533">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699077D6">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7BB76B1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5C4F020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1、交货安装期：</w:t>
      </w:r>
      <w:r>
        <w:rPr>
          <w:rFonts w:hint="eastAsia" w:asciiTheme="minorEastAsia" w:hAnsiTheme="minorEastAsia" w:eastAsiaTheme="minorEastAsia" w:cstheme="minorEastAsia"/>
          <w:color w:val="auto"/>
          <w:kern w:val="0"/>
          <w:sz w:val="24"/>
          <w:szCs w:val="24"/>
          <w:highlight w:val="none"/>
        </w:rPr>
        <w:t>合同签订生效之日起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个日历日供货安装调试</w:t>
      </w:r>
      <w:r>
        <w:rPr>
          <w:rFonts w:hint="eastAsia" w:asciiTheme="minorEastAsia" w:hAnsiTheme="minorEastAsia" w:eastAsiaTheme="minorEastAsia" w:cstheme="minorEastAsia"/>
          <w:color w:val="auto"/>
          <w:kern w:val="0"/>
          <w:sz w:val="24"/>
          <w:szCs w:val="24"/>
          <w:highlight w:val="none"/>
          <w:lang w:val="en-US" w:eastAsia="zh-CN"/>
        </w:rPr>
        <w:t>完毕，验收合格，投入使用</w:t>
      </w:r>
      <w:r>
        <w:rPr>
          <w:rFonts w:hint="eastAsia" w:asciiTheme="minorEastAsia" w:hAnsiTheme="minorEastAsia" w:eastAsiaTheme="minorEastAsia" w:cstheme="minorEastAsia"/>
          <w:color w:val="auto"/>
          <w:kern w:val="0"/>
          <w:sz w:val="24"/>
          <w:szCs w:val="24"/>
          <w:highlight w:val="none"/>
        </w:rPr>
        <w:t>。</w:t>
      </w:r>
    </w:p>
    <w:p w14:paraId="79F354E3">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2、交货地点：甲方指定地点</w:t>
      </w:r>
    </w:p>
    <w:p w14:paraId="7D974DAD">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包装要求与运输方式  </w:t>
      </w:r>
    </w:p>
    <w:p w14:paraId="61135A8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1、除合同另有规定外，乙方提供的全部货物均应按标准保护措施进行包装，该包装应适应于远距离运输、防潮、防震、防锈和防野蛮装卸，以确保货物安全运抵指定地点。</w:t>
      </w:r>
    </w:p>
    <w:p w14:paraId="4D1718E6">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2、每一包装单元应附详细的装箱单和质量合格证。</w:t>
      </w:r>
    </w:p>
    <w:p w14:paraId="561B0BC1">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3、货物（产品）运输方式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70BDBD4D">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4、乙方负责货物（产品）运输，货物运输的合理损耗及计算方法。</w:t>
      </w:r>
    </w:p>
    <w:p w14:paraId="427FC52C">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2BBD7E3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1、乙方须提供全新的、未使用过的合格正品货物（含零部件、配件等），完全符合合同规定的质量、规格和性能的要求。</w:t>
      </w:r>
    </w:p>
    <w:p w14:paraId="52B6CBF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2、乙方提供的节能和环保产品必须是列入政府采购清单的产品。</w:t>
      </w:r>
    </w:p>
    <w:p w14:paraId="43891C8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3、质量标准按照最新颁布的国家标准、行业标准或制造商企业标准确定，上述标准不一致的，以严格标准为准。</w:t>
      </w:r>
    </w:p>
    <w:p w14:paraId="412F072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4、乙方所提供货物还应符合国家和陕西省有关安</w:t>
      </w:r>
      <w:bookmarkStart w:id="67" w:name="_GoBack"/>
      <w:bookmarkEnd w:id="67"/>
      <w:r>
        <w:rPr>
          <w:rFonts w:hint="eastAsia" w:asciiTheme="minorEastAsia" w:hAnsiTheme="minorEastAsia" w:eastAsiaTheme="minorEastAsia" w:cstheme="minorEastAsia"/>
          <w:sz w:val="24"/>
          <w:szCs w:val="24"/>
          <w:highlight w:val="none"/>
        </w:rPr>
        <w:t>全、环保、节能之规定，“3C”认证的货物（产品）应加贴“3C”认证标志。</w:t>
      </w:r>
    </w:p>
    <w:p w14:paraId="17E6949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5、货物制造质量出现问题，乙方应负责三包（包修、包换、包退），费用由乙方负担，甲方有权到乙方生产场地检查货物质量和生产进度。</w:t>
      </w:r>
    </w:p>
    <w:p w14:paraId="66B5A58B">
      <w:pPr>
        <w:pStyle w:val="11"/>
        <w:pageBreakBefore w:val="0"/>
        <w:kinsoku/>
        <w:wordWrap/>
        <w:overflowPunct/>
        <w:topLinePunct w:val="0"/>
        <w:autoSpaceDE/>
        <w:autoSpaceDN/>
        <w:bidi w:val="0"/>
        <w:adjustRightInd/>
        <w:spacing w:line="360" w:lineRule="auto"/>
        <w:ind w:firstLine="480"/>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6、质保期：3年。</w:t>
      </w:r>
    </w:p>
    <w:p w14:paraId="1D406E13">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2CB386E0">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52A1DA7A">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2、乙方保证合同所有设备是全新的（包括零部件），其规格参数及配件不低于（符合）本项目磋商文件和响应文件的要求。</w:t>
      </w:r>
    </w:p>
    <w:p w14:paraId="350F208E">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3、安装完成，乙方进行自测并形成自测报告（软硬件），出现的问题限期整改。自检最终通过后，乙方提出验收申请，甲方组织相关人员进行最终验收。</w:t>
      </w:r>
    </w:p>
    <w:p w14:paraId="4A0F15F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4、设备采购从通过最终验收之日起进入保修期，提供原厂保修升级。</w:t>
      </w:r>
    </w:p>
    <w:p w14:paraId="19507092">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第九条 售后服务</w:t>
      </w:r>
    </w:p>
    <w:p w14:paraId="0828BBE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乙方</w:t>
      </w:r>
      <w:r>
        <w:rPr>
          <w:rFonts w:hint="eastAsia" w:asciiTheme="minorEastAsia" w:hAnsiTheme="minorEastAsia" w:eastAsiaTheme="minorEastAsia" w:cstheme="minorEastAsia"/>
          <w:sz w:val="24"/>
          <w:szCs w:val="24"/>
          <w:highlight w:val="none"/>
        </w:rPr>
        <w:t xml:space="preserve">派专人对学校提供售后服务，并每月定期对所提供的软硬件设备、材料等进行巡检，做好巡检记录；                  </w:t>
      </w:r>
    </w:p>
    <w:p w14:paraId="6071480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2、货物（产品）的现场安装、调试和启动监督；</w:t>
      </w:r>
    </w:p>
    <w:p w14:paraId="172A4E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50BEF94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4、质保期自采购人在货物质量验收单（终验）上签字之日起计算，质保费用计入总价；</w:t>
      </w:r>
    </w:p>
    <w:p w14:paraId="7DDC912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5、乙方对其所提供软硬件设备、材料等负责备品配件的供应，长期提供维修服务，并提供技术咨询等服务。质保期内应无偿负责的维修和替换等工作。超出质保期只收取维修所需原设备、材料成本费用。</w:t>
      </w:r>
    </w:p>
    <w:p w14:paraId="1D5054B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6、服务响应时限：7*24小时服务，提供售后服务电话（应具有：固定电话、移动电话、传真）；</w:t>
      </w:r>
    </w:p>
    <w:p w14:paraId="3790D06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7、成交供应商在接到采购人通知后维修工作时间不大于24小时，更换工作时间不大于72小时。</w:t>
      </w:r>
    </w:p>
    <w:p w14:paraId="3EA86C7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8、在质保期内更换系统中部件（包括软件和硬件），其保修期应相应延长。</w:t>
      </w:r>
    </w:p>
    <w:p w14:paraId="6A4DC13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9、所有货物服务方式均为成交供应商上门服务，即由成交供应商派员到货物使用现场维修，由此产生的一切费用均由成交供应商承担；</w:t>
      </w:r>
    </w:p>
    <w:p w14:paraId="42603EF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10、质保期结束后的货物维修、维护由双方协商再定。</w:t>
      </w:r>
    </w:p>
    <w:p w14:paraId="59DCF4AF">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053A9F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1、甲方违约责任</w:t>
      </w:r>
    </w:p>
    <w:p w14:paraId="0F30AD88">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（1）甲方无正当理由拒收货物的，甲方应偿付合同总价3 %的违约金；</w:t>
      </w:r>
    </w:p>
    <w:p w14:paraId="564B2E6B">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（2）甲方逾期支付货款的，除应及时付足货款外，应向乙方每天支付欠款总额1‰的滞纳金；但累计滞纳金总额不超过欠款总额的1%。</w:t>
      </w:r>
    </w:p>
    <w:p w14:paraId="6A5004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2、乙方违约责任</w:t>
      </w:r>
    </w:p>
    <w:p w14:paraId="688CAEC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（1）如乙方不能交付货物，乙方应向甲方支付合同总价5％的违约金；</w:t>
      </w:r>
    </w:p>
    <w:p w14:paraId="6B326A3F">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（2）乙方逾期交付货物的，每逾期1天，乙方向甲方偿付逾期交货部分货款总额的3‰的滞纳金。如乙方逾期交货达15天，甲方有权解除合同，解除合同的通知自到达乙方时生效；</w:t>
      </w:r>
    </w:p>
    <w:p w14:paraId="479F9E7F">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（3）乙方所交付的货物品种、型号、规格不符合合同规定的，甲方有权拒收。甲方拒收的，乙方应向甲方支付货款总额5%的违约金；</w:t>
      </w:r>
    </w:p>
    <w:p w14:paraId="5EBAFC9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7AC5292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2C7853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（6）乙方未按本合同约定履行自身应尽义务的，应向甲方承担违约责任，按合同总价款的5 %向甲方支付违约金；该违约金的支付不影响乙方应承担的其他违约责任；</w:t>
      </w:r>
    </w:p>
    <w:p w14:paraId="2068279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（7）乙方未按本合同的规定和“服务承诺”提供伴随服务/售后服务的，应按合同总价款的5%向甲方承担违约责任；</w:t>
      </w:r>
    </w:p>
    <w:p w14:paraId="5DFDD65C">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518412D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（9）乙方偿付的违约金不足以弥补甲方损失的，还应按甲方损失尚未弥补的部分，支付赔偿金给甲方。</w:t>
      </w:r>
    </w:p>
    <w:p w14:paraId="5F46D5B3">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第十一条 合同的变更和终止</w:t>
      </w:r>
    </w:p>
    <w:p w14:paraId="308B8F0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除《中华人民共和国政府采购法》第49条、第50条第二款规定的情形外，本合同一经签订，甲乙双方不得擅自变更、中止或终止合同。</w:t>
      </w:r>
    </w:p>
    <w:p w14:paraId="37A375F2">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第十二条 争议的解决</w:t>
      </w:r>
    </w:p>
    <w:p w14:paraId="3C9389D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E4154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20D9174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63DF1F4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14351A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0B9F7C2D">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第十三条 合同生效及其他</w:t>
      </w:r>
    </w:p>
    <w:p w14:paraId="50E7AFE9">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3F6A5BD3">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4E095D9D">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53C8084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59328F08">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2F4B2E99">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3EA9545B">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5D9D48B8">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3F60DF1D">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7F3C4E0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4724193B">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76F3599"/>
    <w:rsid w:val="07A019A5"/>
    <w:rsid w:val="0AFD710E"/>
    <w:rsid w:val="0BDA7DDB"/>
    <w:rsid w:val="0BDE0CED"/>
    <w:rsid w:val="0D554FDF"/>
    <w:rsid w:val="10BC5375"/>
    <w:rsid w:val="125A1663"/>
    <w:rsid w:val="165A3666"/>
    <w:rsid w:val="1A423B81"/>
    <w:rsid w:val="1B79633D"/>
    <w:rsid w:val="1C7A05BE"/>
    <w:rsid w:val="1D434E54"/>
    <w:rsid w:val="20711CD8"/>
    <w:rsid w:val="247B4ED4"/>
    <w:rsid w:val="24FB6014"/>
    <w:rsid w:val="2A30050E"/>
    <w:rsid w:val="2B3C63BA"/>
    <w:rsid w:val="2BD01C52"/>
    <w:rsid w:val="300C557A"/>
    <w:rsid w:val="30F304E8"/>
    <w:rsid w:val="35800FB6"/>
    <w:rsid w:val="3A856D10"/>
    <w:rsid w:val="3F286E52"/>
    <w:rsid w:val="3F4D5267"/>
    <w:rsid w:val="40FC6078"/>
    <w:rsid w:val="47F6293F"/>
    <w:rsid w:val="4C665924"/>
    <w:rsid w:val="4DC61A36"/>
    <w:rsid w:val="529C2335"/>
    <w:rsid w:val="5CB62246"/>
    <w:rsid w:val="5ED54C05"/>
    <w:rsid w:val="60FC3502"/>
    <w:rsid w:val="65B31A18"/>
    <w:rsid w:val="66CD6B09"/>
    <w:rsid w:val="6E8963C6"/>
    <w:rsid w:val="746B42E5"/>
    <w:rsid w:val="76CB03C9"/>
    <w:rsid w:val="78000AED"/>
    <w:rsid w:val="7D6E02A7"/>
    <w:rsid w:val="7E31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3303</Words>
  <Characters>3327</Characters>
  <Lines>0</Lines>
  <Paragraphs>0</Paragraphs>
  <TotalTime>4</TotalTime>
  <ScaleCrop>false</ScaleCrop>
  <LinksUpToDate>false</LinksUpToDate>
  <CharactersWithSpaces>3683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QQQQ</cp:lastModifiedBy>
  <dcterms:modified xsi:type="dcterms:W3CDTF">2025-08-19T04:10:05Z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3006C60F7B3E4FC185664B3083845DA4_11</vt:lpwstr>
  </property>
  <property fmtid="{D5CDD505-2E9C-101B-9397-08002B2CF9AE}" pid="4" name="KSOTemplateDocerSaveRecord">
    <vt:lpwstr>eyJoZGlkIjoiOTcyZTNiZTIzMTFiYjc4MmExNzQ3MzFlOTI4NmYyYmEiLCJ1c2VySWQiOiIzODkzMjE1NzcifQ==</vt:lpwstr>
  </property>
</Properties>
</file>