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693098">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jc w:val="center"/>
        <w:textAlignment w:val="auto"/>
        <w:outlineLvl w:val="0"/>
        <w:rPr>
          <w:rFonts w:hint="eastAsia" w:ascii="宋体" w:hAnsi="宋体" w:eastAsia="宋体" w:cs="宋体"/>
          <w:b/>
          <w:sz w:val="32"/>
          <w:szCs w:val="32"/>
          <w:highlight w:val="none"/>
        </w:rPr>
      </w:pPr>
      <w:r>
        <w:rPr>
          <w:rFonts w:hint="eastAsia" w:ascii="宋体" w:hAnsi="宋体" w:eastAsia="宋体" w:cs="宋体"/>
          <w:b/>
          <w:sz w:val="32"/>
          <w:szCs w:val="32"/>
          <w:highlight w:val="none"/>
        </w:rPr>
        <w:t>合同格式</w:t>
      </w:r>
    </w:p>
    <w:p w14:paraId="787B9E56">
      <w:pPr>
        <w:pStyle w:val="2"/>
        <w:jc w:val="center"/>
        <w:rPr>
          <w:rFonts w:hint="default"/>
          <w:lang w:val="en-US"/>
        </w:rPr>
      </w:pPr>
      <w:bookmarkStart w:id="67" w:name="_GoBack"/>
      <w:bookmarkEnd w:id="67"/>
      <w:r>
        <w:rPr>
          <w:rFonts w:hint="eastAsia" w:ascii="仿宋" w:hAnsi="仿宋" w:eastAsia="仿宋" w:cs="仿宋"/>
          <w:b/>
          <w:bCs/>
          <w:sz w:val="28"/>
          <w:szCs w:val="21"/>
          <w:lang w:val="en-US" w:eastAsia="zh-CN"/>
        </w:rPr>
        <w:t>适用于合同包1及适用于合同包2</w:t>
      </w:r>
    </w:p>
    <w:p w14:paraId="354016AF">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委托方（以下简称甲方）： </w:t>
      </w:r>
    </w:p>
    <w:p w14:paraId="767CA25C">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承接方（以下简称乙方）：                        </w:t>
      </w:r>
    </w:p>
    <w:p w14:paraId="0303B73B">
      <w:pPr>
        <w:pStyle w:val="11"/>
        <w:pageBreakBefore w:val="0"/>
        <w:kinsoku/>
        <w:wordWrap/>
        <w:overflowPunct/>
        <w:topLinePunct w:val="0"/>
        <w:autoSpaceDE/>
        <w:autoSpaceDN/>
        <w:bidi w:val="0"/>
        <w:adjustRightInd/>
        <w:spacing w:before="156" w:beforeLines="50"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根据《中华人民共和国政府采购法》及实施条例、《中华人民共和国民法典》和甲方</w:t>
      </w:r>
      <w:r>
        <w:rPr>
          <w:rFonts w:hint="eastAsia" w:asciiTheme="minorEastAsia" w:hAnsiTheme="minorEastAsia" w:eastAsiaTheme="minorEastAsia" w:cstheme="minorEastAsia"/>
          <w:i/>
          <w:iCs/>
          <w:sz w:val="24"/>
          <w:szCs w:val="24"/>
          <w:highlight w:val="none"/>
          <w:u w:val="single"/>
        </w:rPr>
        <w:t xml:space="preserve">      </w:t>
      </w:r>
      <w:r>
        <w:rPr>
          <w:rFonts w:hint="eastAsia" w:asciiTheme="minorEastAsia" w:hAnsiTheme="minorEastAsia" w:eastAsiaTheme="minorEastAsia" w:cstheme="minorEastAsia"/>
          <w:i w:val="0"/>
          <w:iCs w:val="0"/>
          <w:sz w:val="24"/>
          <w:szCs w:val="24"/>
          <w:highlight w:val="none"/>
          <w:u w:val="single"/>
        </w:rPr>
        <w:t>（</w:t>
      </w:r>
      <w:r>
        <w:rPr>
          <w:rFonts w:hint="eastAsia" w:asciiTheme="minorEastAsia" w:hAnsiTheme="minorEastAsia" w:eastAsiaTheme="minorEastAsia" w:cstheme="minorEastAsia"/>
          <w:i/>
          <w:iCs/>
          <w:sz w:val="24"/>
          <w:szCs w:val="24"/>
          <w:highlight w:val="none"/>
          <w:u w:val="single"/>
        </w:rPr>
        <w:t>采购项目名称</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i/>
          <w:iCs/>
          <w:sz w:val="24"/>
          <w:szCs w:val="24"/>
          <w:highlight w:val="none"/>
        </w:rPr>
        <w:t>采购项目编号：</w:t>
      </w:r>
      <w:r>
        <w:rPr>
          <w:rFonts w:hint="eastAsia" w:asciiTheme="minorEastAsia" w:hAnsiTheme="minorEastAsia" w:eastAsiaTheme="minorEastAsia" w:cstheme="minorEastAsia"/>
          <w:i/>
          <w:iCs/>
          <w:sz w:val="24"/>
          <w:szCs w:val="24"/>
          <w:highlight w:val="none"/>
          <w:u w:val="single"/>
        </w:rPr>
        <w:t xml:space="preserve">          </w:t>
      </w:r>
      <w:r>
        <w:rPr>
          <w:rFonts w:hint="eastAsia" w:asciiTheme="minorEastAsia" w:hAnsiTheme="minorEastAsia" w:eastAsiaTheme="minorEastAsia" w:cstheme="minorEastAsia"/>
          <w:sz w:val="24"/>
          <w:szCs w:val="24"/>
          <w:highlight w:val="none"/>
        </w:rPr>
        <w:t>）的</w:t>
      </w:r>
      <w:r>
        <w:rPr>
          <w:rFonts w:hint="eastAsia" w:asciiTheme="minorEastAsia" w:hAnsiTheme="minorEastAsia" w:eastAsiaTheme="minorEastAsia" w:cstheme="minorEastAsia"/>
          <w:sz w:val="24"/>
          <w:szCs w:val="24"/>
          <w:highlight w:val="none"/>
          <w:lang w:val="en-US" w:eastAsia="zh-CN"/>
        </w:rPr>
        <w:t>竞争性磋商</w:t>
      </w:r>
      <w:r>
        <w:rPr>
          <w:rFonts w:hint="eastAsia" w:asciiTheme="minorEastAsia" w:hAnsiTheme="minorEastAsia" w:eastAsiaTheme="minorEastAsia" w:cstheme="minorEastAsia"/>
          <w:sz w:val="24"/>
          <w:szCs w:val="24"/>
          <w:highlight w:val="none"/>
        </w:rPr>
        <w:t>文件、</w:t>
      </w:r>
      <w:r>
        <w:rPr>
          <w:rFonts w:hint="eastAsia" w:asciiTheme="minorEastAsia" w:hAnsiTheme="minorEastAsia" w:eastAsiaTheme="minorEastAsia" w:cstheme="minorEastAsia"/>
          <w:sz w:val="24"/>
          <w:szCs w:val="24"/>
          <w:highlight w:val="none"/>
          <w:lang w:val="en-US" w:eastAsia="zh-CN"/>
        </w:rPr>
        <w:t>响应</w:t>
      </w:r>
      <w:r>
        <w:rPr>
          <w:rFonts w:hint="eastAsia" w:asciiTheme="minorEastAsia" w:hAnsiTheme="minorEastAsia" w:eastAsiaTheme="minorEastAsia" w:cstheme="minorEastAsia"/>
          <w:sz w:val="24"/>
          <w:szCs w:val="24"/>
          <w:highlight w:val="none"/>
        </w:rPr>
        <w:t>文件等有关规定，为确保甲方采购项目的顺利实施，甲、乙双方在平等自愿原则下签订本合同，并共同遵守如下条款：</w:t>
      </w:r>
    </w:p>
    <w:p w14:paraId="5FC941E6">
      <w:pPr>
        <w:pStyle w:val="11"/>
        <w:pageBreakBefore w:val="0"/>
        <w:kinsoku/>
        <w:wordWrap/>
        <w:overflowPunct/>
        <w:topLinePunct w:val="0"/>
        <w:autoSpaceDE/>
        <w:autoSpaceDN/>
        <w:bidi w:val="0"/>
        <w:adjustRightInd/>
        <w:spacing w:before="156" w:beforeLines="50" w:line="360" w:lineRule="auto"/>
        <w:ind w:firstLine="0" w:firstLineChars="0"/>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第一条 合同标的及数量</w:t>
      </w:r>
    </w:p>
    <w:p w14:paraId="4615E70F">
      <w:pPr>
        <w:pStyle w:val="11"/>
        <w:pageBreakBefore w:val="0"/>
        <w:widowControl/>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sz w:val="24"/>
          <w:szCs w:val="24"/>
          <w:highlight w:val="none"/>
        </w:rPr>
        <w:t>乙方向甲方提供下列货物（产品）：</w:t>
      </w:r>
    </w:p>
    <w:p w14:paraId="1ABC8FA9">
      <w:pPr>
        <w:pStyle w:val="5"/>
        <w:pageBreakBefore w:val="0"/>
        <w:widowControl/>
        <w:kinsoku/>
        <w:wordWrap/>
        <w:overflowPunct/>
        <w:topLinePunct w:val="0"/>
        <w:autoSpaceDE/>
        <w:autoSpaceDN/>
        <w:bidi w:val="0"/>
        <w:adjustRightInd/>
        <w:spacing w:line="360" w:lineRule="auto"/>
        <w:ind w:firstLine="482"/>
        <w:jc w:val="center"/>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供货一览表</w:t>
      </w:r>
    </w:p>
    <w:tbl>
      <w:tblPr>
        <w:tblStyle w:val="7"/>
        <w:tblpPr w:leftFromText="180" w:rightFromText="180" w:vertAnchor="text" w:horzAnchor="margin" w:tblpXSpec="center" w:tblpY="309"/>
        <w:tblW w:w="4997"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674"/>
        <w:gridCol w:w="1134"/>
        <w:gridCol w:w="1134"/>
        <w:gridCol w:w="1249"/>
        <w:gridCol w:w="675"/>
        <w:gridCol w:w="1134"/>
        <w:gridCol w:w="675"/>
        <w:gridCol w:w="1363"/>
        <w:gridCol w:w="1249"/>
      </w:tblGrid>
      <w:tr w14:paraId="51A655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69" w:hRule="atLeast"/>
        </w:trPr>
        <w:tc>
          <w:tcPr>
            <w:tcW w:w="368" w:type="pct"/>
            <w:tcBorders>
              <w:top w:val="single" w:color="auto" w:sz="12" w:space="0"/>
              <w:left w:val="single" w:color="auto" w:sz="12" w:space="0"/>
              <w:bottom w:val="single" w:color="auto" w:sz="4" w:space="0"/>
              <w:right w:val="single" w:color="auto" w:sz="4" w:space="0"/>
            </w:tcBorders>
            <w:noWrap/>
            <w:vAlign w:val="center"/>
          </w:tcPr>
          <w:p w14:paraId="25BD317E">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bookmarkStart w:id="0" w:name="_Toc12862"/>
            <w:bookmarkStart w:id="1" w:name="_Toc731"/>
            <w:bookmarkStart w:id="2" w:name="_Toc8098"/>
            <w:bookmarkStart w:id="3" w:name="_Toc30936"/>
            <w:bookmarkStart w:id="4" w:name="_Toc11029"/>
            <w:r>
              <w:rPr>
                <w:rFonts w:hint="eastAsia" w:asciiTheme="minorEastAsia" w:hAnsiTheme="minorEastAsia" w:eastAsiaTheme="minorEastAsia" w:cstheme="minorEastAsia"/>
                <w:color w:val="000000"/>
                <w:kern w:val="2"/>
                <w:sz w:val="24"/>
                <w:szCs w:val="24"/>
                <w:highlight w:val="none"/>
              </w:rPr>
              <w:t>序号</w:t>
            </w:r>
            <w:bookmarkEnd w:id="0"/>
            <w:bookmarkEnd w:id="1"/>
            <w:bookmarkEnd w:id="2"/>
            <w:bookmarkEnd w:id="3"/>
            <w:bookmarkEnd w:id="4"/>
          </w:p>
        </w:tc>
        <w:tc>
          <w:tcPr>
            <w:tcW w:w="628" w:type="pct"/>
            <w:tcBorders>
              <w:top w:val="single" w:color="auto" w:sz="12" w:space="0"/>
              <w:left w:val="single" w:color="auto" w:sz="4" w:space="0"/>
              <w:bottom w:val="single" w:color="auto" w:sz="4" w:space="0"/>
              <w:right w:val="single" w:color="auto" w:sz="4" w:space="0"/>
            </w:tcBorders>
            <w:noWrap/>
            <w:vAlign w:val="center"/>
          </w:tcPr>
          <w:p w14:paraId="356D7CCD">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bookmarkStart w:id="5" w:name="_Toc14606"/>
            <w:bookmarkStart w:id="6" w:name="_Toc12848"/>
            <w:bookmarkStart w:id="7" w:name="_Toc18138"/>
            <w:bookmarkStart w:id="8" w:name="_Toc10937"/>
            <w:bookmarkStart w:id="9" w:name="_Toc11846"/>
            <w:r>
              <w:rPr>
                <w:rFonts w:hint="eastAsia" w:asciiTheme="minorEastAsia" w:hAnsiTheme="minorEastAsia" w:eastAsiaTheme="minorEastAsia" w:cstheme="minorEastAsia"/>
                <w:color w:val="000000"/>
                <w:kern w:val="2"/>
                <w:sz w:val="24"/>
                <w:szCs w:val="24"/>
                <w:highlight w:val="none"/>
              </w:rPr>
              <w:t>货物名称</w:t>
            </w:r>
            <w:bookmarkEnd w:id="5"/>
            <w:bookmarkEnd w:id="6"/>
            <w:bookmarkEnd w:id="7"/>
            <w:bookmarkEnd w:id="8"/>
            <w:bookmarkEnd w:id="9"/>
          </w:p>
        </w:tc>
        <w:tc>
          <w:tcPr>
            <w:tcW w:w="663" w:type="pct"/>
            <w:tcBorders>
              <w:top w:val="single" w:color="auto" w:sz="12" w:space="0"/>
              <w:left w:val="single" w:color="auto" w:sz="4" w:space="0"/>
              <w:bottom w:val="single" w:color="auto" w:sz="4" w:space="0"/>
              <w:right w:val="single" w:color="auto" w:sz="4" w:space="0"/>
            </w:tcBorders>
            <w:noWrap/>
            <w:vAlign w:val="center"/>
          </w:tcPr>
          <w:p w14:paraId="731148B4">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bookmarkStart w:id="10" w:name="_Toc10792"/>
            <w:bookmarkStart w:id="11" w:name="_Toc11018"/>
            <w:bookmarkStart w:id="12" w:name="_Toc24749"/>
            <w:bookmarkStart w:id="13" w:name="_Toc30052"/>
            <w:bookmarkStart w:id="14" w:name="_Toc32341"/>
            <w:r>
              <w:rPr>
                <w:rFonts w:hint="eastAsia" w:asciiTheme="minorEastAsia" w:hAnsiTheme="minorEastAsia" w:eastAsiaTheme="minorEastAsia" w:cstheme="minorEastAsia"/>
                <w:color w:val="000000"/>
                <w:kern w:val="2"/>
                <w:sz w:val="24"/>
                <w:szCs w:val="24"/>
                <w:highlight w:val="none"/>
              </w:rPr>
              <w:t>品目代码</w:t>
            </w:r>
            <w:bookmarkEnd w:id="10"/>
            <w:bookmarkEnd w:id="11"/>
            <w:bookmarkEnd w:id="12"/>
            <w:bookmarkEnd w:id="13"/>
            <w:bookmarkEnd w:id="14"/>
          </w:p>
        </w:tc>
        <w:tc>
          <w:tcPr>
            <w:tcW w:w="699" w:type="pct"/>
            <w:tcBorders>
              <w:top w:val="single" w:color="auto" w:sz="12" w:space="0"/>
              <w:left w:val="single" w:color="auto" w:sz="4" w:space="0"/>
              <w:bottom w:val="single" w:color="auto" w:sz="4" w:space="0"/>
              <w:right w:val="single" w:color="auto" w:sz="4" w:space="0"/>
            </w:tcBorders>
            <w:noWrap/>
            <w:vAlign w:val="center"/>
          </w:tcPr>
          <w:p w14:paraId="16C882E3">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bookmarkStart w:id="15" w:name="_Toc23775"/>
            <w:bookmarkStart w:id="16" w:name="_Toc31993"/>
            <w:bookmarkStart w:id="17" w:name="_Toc18279"/>
            <w:bookmarkStart w:id="18" w:name="_Toc2505"/>
            <w:bookmarkStart w:id="19" w:name="_Toc30994"/>
            <w:r>
              <w:rPr>
                <w:rFonts w:hint="eastAsia" w:asciiTheme="minorEastAsia" w:hAnsiTheme="minorEastAsia" w:eastAsiaTheme="minorEastAsia" w:cstheme="minorEastAsia"/>
                <w:color w:val="000000"/>
                <w:kern w:val="2"/>
                <w:sz w:val="24"/>
                <w:szCs w:val="24"/>
                <w:highlight w:val="none"/>
              </w:rPr>
              <w:t>品牌/型号</w:t>
            </w:r>
            <w:bookmarkEnd w:id="15"/>
            <w:bookmarkEnd w:id="16"/>
            <w:bookmarkEnd w:id="17"/>
            <w:bookmarkEnd w:id="18"/>
            <w:bookmarkEnd w:id="19"/>
          </w:p>
        </w:tc>
        <w:tc>
          <w:tcPr>
            <w:tcW w:w="432" w:type="pct"/>
            <w:tcBorders>
              <w:top w:val="single" w:color="auto" w:sz="12" w:space="0"/>
              <w:left w:val="single" w:color="auto" w:sz="4" w:space="0"/>
              <w:bottom w:val="single" w:color="auto" w:sz="4" w:space="0"/>
              <w:right w:val="single" w:color="auto" w:sz="4" w:space="0"/>
            </w:tcBorders>
            <w:noWrap/>
            <w:vAlign w:val="center"/>
          </w:tcPr>
          <w:p w14:paraId="7E910D93">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bookmarkStart w:id="20" w:name="_Toc19146"/>
            <w:bookmarkStart w:id="21" w:name="_Toc28515"/>
            <w:bookmarkStart w:id="22" w:name="_Toc20736"/>
            <w:bookmarkStart w:id="23" w:name="_Toc8038"/>
            <w:bookmarkStart w:id="24" w:name="_Toc16809"/>
            <w:r>
              <w:rPr>
                <w:rFonts w:hint="eastAsia" w:asciiTheme="minorEastAsia" w:hAnsiTheme="minorEastAsia" w:eastAsiaTheme="minorEastAsia" w:cstheme="minorEastAsia"/>
                <w:color w:val="000000"/>
                <w:kern w:val="2"/>
                <w:sz w:val="24"/>
                <w:szCs w:val="24"/>
                <w:highlight w:val="none"/>
              </w:rPr>
              <w:t>规格</w:t>
            </w:r>
            <w:bookmarkEnd w:id="20"/>
            <w:bookmarkEnd w:id="21"/>
            <w:bookmarkEnd w:id="22"/>
            <w:bookmarkEnd w:id="23"/>
            <w:bookmarkEnd w:id="24"/>
          </w:p>
        </w:tc>
        <w:tc>
          <w:tcPr>
            <w:tcW w:w="443" w:type="pct"/>
            <w:tcBorders>
              <w:top w:val="single" w:color="auto" w:sz="12" w:space="0"/>
              <w:left w:val="single" w:color="auto" w:sz="4" w:space="0"/>
              <w:bottom w:val="single" w:color="auto" w:sz="4" w:space="0"/>
              <w:right w:val="single" w:color="auto" w:sz="4" w:space="0"/>
            </w:tcBorders>
            <w:noWrap/>
            <w:vAlign w:val="center"/>
          </w:tcPr>
          <w:p w14:paraId="3BD00F8D">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bookmarkStart w:id="25" w:name="_Toc9385"/>
            <w:bookmarkStart w:id="26" w:name="_Toc13868"/>
            <w:bookmarkStart w:id="27" w:name="_Toc8453"/>
            <w:bookmarkStart w:id="28" w:name="_Toc21245"/>
            <w:bookmarkStart w:id="29" w:name="_Toc12530"/>
            <w:r>
              <w:rPr>
                <w:rFonts w:hint="eastAsia" w:asciiTheme="minorEastAsia" w:hAnsiTheme="minorEastAsia" w:eastAsiaTheme="minorEastAsia" w:cstheme="minorEastAsia"/>
                <w:color w:val="000000"/>
                <w:kern w:val="2"/>
                <w:sz w:val="24"/>
                <w:szCs w:val="24"/>
                <w:highlight w:val="none"/>
              </w:rPr>
              <w:t>计量单位</w:t>
            </w:r>
            <w:bookmarkEnd w:id="25"/>
            <w:bookmarkEnd w:id="26"/>
            <w:bookmarkEnd w:id="27"/>
            <w:bookmarkEnd w:id="28"/>
            <w:bookmarkEnd w:id="29"/>
          </w:p>
        </w:tc>
        <w:tc>
          <w:tcPr>
            <w:tcW w:w="361" w:type="pct"/>
            <w:tcBorders>
              <w:top w:val="single" w:color="auto" w:sz="12" w:space="0"/>
              <w:left w:val="single" w:color="auto" w:sz="4" w:space="0"/>
              <w:bottom w:val="single" w:color="auto" w:sz="4" w:space="0"/>
              <w:right w:val="single" w:color="auto" w:sz="4" w:space="0"/>
            </w:tcBorders>
            <w:noWrap/>
            <w:vAlign w:val="center"/>
          </w:tcPr>
          <w:p w14:paraId="5C9EF7DA">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bookmarkStart w:id="30" w:name="_Toc25464"/>
            <w:bookmarkStart w:id="31" w:name="_Toc26700"/>
            <w:bookmarkStart w:id="32" w:name="_Toc31770"/>
            <w:bookmarkStart w:id="33" w:name="_Toc13771"/>
            <w:bookmarkStart w:id="34" w:name="_Toc2753"/>
            <w:r>
              <w:rPr>
                <w:rFonts w:hint="eastAsia" w:asciiTheme="minorEastAsia" w:hAnsiTheme="minorEastAsia" w:eastAsiaTheme="minorEastAsia" w:cstheme="minorEastAsia"/>
                <w:color w:val="000000"/>
                <w:kern w:val="2"/>
                <w:sz w:val="24"/>
                <w:szCs w:val="24"/>
                <w:highlight w:val="none"/>
              </w:rPr>
              <w:t>数量</w:t>
            </w:r>
            <w:bookmarkEnd w:id="30"/>
            <w:bookmarkEnd w:id="31"/>
            <w:bookmarkEnd w:id="32"/>
            <w:bookmarkEnd w:id="33"/>
            <w:bookmarkEnd w:id="34"/>
          </w:p>
        </w:tc>
        <w:tc>
          <w:tcPr>
            <w:tcW w:w="538" w:type="pct"/>
            <w:tcBorders>
              <w:top w:val="single" w:color="auto" w:sz="12" w:space="0"/>
              <w:left w:val="single" w:color="auto" w:sz="4" w:space="0"/>
              <w:bottom w:val="single" w:color="auto" w:sz="4" w:space="0"/>
              <w:right w:val="single" w:color="auto" w:sz="4" w:space="0"/>
            </w:tcBorders>
            <w:noWrap/>
            <w:vAlign w:val="center"/>
          </w:tcPr>
          <w:p w14:paraId="0462061E">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bookmarkStart w:id="35" w:name="_Toc18214"/>
            <w:bookmarkStart w:id="36" w:name="_Toc8363"/>
            <w:bookmarkStart w:id="37" w:name="_Toc1099"/>
            <w:bookmarkStart w:id="38" w:name="_Toc12281"/>
            <w:bookmarkStart w:id="39" w:name="_Toc13068"/>
            <w:r>
              <w:rPr>
                <w:rFonts w:hint="eastAsia" w:asciiTheme="minorEastAsia" w:hAnsiTheme="minorEastAsia" w:eastAsiaTheme="minorEastAsia" w:cstheme="minorEastAsia"/>
                <w:color w:val="000000"/>
                <w:kern w:val="2"/>
                <w:sz w:val="24"/>
                <w:szCs w:val="24"/>
                <w:highlight w:val="none"/>
              </w:rPr>
              <w:t>单价（元）</w:t>
            </w:r>
            <w:bookmarkEnd w:id="35"/>
            <w:bookmarkEnd w:id="36"/>
            <w:bookmarkEnd w:id="37"/>
            <w:bookmarkEnd w:id="38"/>
            <w:bookmarkEnd w:id="39"/>
          </w:p>
        </w:tc>
        <w:tc>
          <w:tcPr>
            <w:tcW w:w="862" w:type="pct"/>
            <w:tcBorders>
              <w:top w:val="single" w:color="auto" w:sz="12" w:space="0"/>
              <w:left w:val="single" w:color="auto" w:sz="4" w:space="0"/>
              <w:bottom w:val="single" w:color="auto" w:sz="4" w:space="0"/>
              <w:right w:val="single" w:color="auto" w:sz="12" w:space="0"/>
            </w:tcBorders>
            <w:noWrap/>
            <w:vAlign w:val="center"/>
          </w:tcPr>
          <w:p w14:paraId="5138D1DC">
            <w:pPr>
              <w:pageBreakBefore w:val="0"/>
              <w:kinsoku/>
              <w:wordWrap/>
              <w:overflowPunct/>
              <w:topLinePunct w:val="0"/>
              <w:autoSpaceDE/>
              <w:autoSpaceDN/>
              <w:bidi w:val="0"/>
              <w:adjustRightInd/>
              <w:spacing w:before="0"/>
              <w:ind w:left="207" w:hanging="235" w:hangingChars="98"/>
              <w:jc w:val="both"/>
              <w:outlineLvl w:val="9"/>
              <w:rPr>
                <w:rFonts w:hint="eastAsia" w:asciiTheme="minorEastAsia" w:hAnsiTheme="minorEastAsia" w:eastAsiaTheme="minorEastAsia" w:cstheme="minorEastAsia"/>
                <w:color w:val="000000"/>
                <w:kern w:val="2"/>
                <w:sz w:val="24"/>
                <w:szCs w:val="24"/>
                <w:highlight w:val="none"/>
              </w:rPr>
            </w:pPr>
            <w:bookmarkStart w:id="40" w:name="_Toc3069"/>
            <w:bookmarkStart w:id="41" w:name="_Toc30167"/>
            <w:bookmarkStart w:id="42" w:name="_Toc32252"/>
            <w:bookmarkStart w:id="43" w:name="_Toc23208"/>
            <w:bookmarkStart w:id="44" w:name="_Toc16235"/>
            <w:r>
              <w:rPr>
                <w:rFonts w:hint="eastAsia" w:asciiTheme="minorEastAsia" w:hAnsiTheme="minorEastAsia" w:eastAsiaTheme="minorEastAsia" w:cstheme="minorEastAsia"/>
                <w:color w:val="000000"/>
                <w:kern w:val="2"/>
                <w:sz w:val="24"/>
                <w:szCs w:val="24"/>
                <w:highlight w:val="none"/>
              </w:rPr>
              <w:t>金额 (元)</w:t>
            </w:r>
            <w:bookmarkEnd w:id="40"/>
            <w:bookmarkEnd w:id="41"/>
            <w:bookmarkEnd w:id="42"/>
            <w:bookmarkEnd w:id="43"/>
            <w:bookmarkEnd w:id="44"/>
          </w:p>
        </w:tc>
      </w:tr>
      <w:tr w14:paraId="79B6AA7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368" w:type="pct"/>
            <w:tcBorders>
              <w:top w:val="single" w:color="auto" w:sz="4" w:space="0"/>
              <w:left w:val="single" w:color="auto" w:sz="12" w:space="0"/>
              <w:bottom w:val="single" w:color="auto" w:sz="4" w:space="0"/>
              <w:right w:val="single" w:color="auto" w:sz="4" w:space="0"/>
            </w:tcBorders>
            <w:noWrap/>
            <w:vAlign w:val="top"/>
          </w:tcPr>
          <w:p w14:paraId="081EB6F1">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28" w:type="pct"/>
            <w:tcBorders>
              <w:top w:val="single" w:color="auto" w:sz="4" w:space="0"/>
              <w:left w:val="single" w:color="auto" w:sz="4" w:space="0"/>
              <w:bottom w:val="single" w:color="auto" w:sz="4" w:space="0"/>
              <w:right w:val="single" w:color="auto" w:sz="4" w:space="0"/>
            </w:tcBorders>
            <w:noWrap/>
            <w:vAlign w:val="top"/>
          </w:tcPr>
          <w:p w14:paraId="0E30BECF">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63" w:type="pct"/>
            <w:tcBorders>
              <w:top w:val="single" w:color="auto" w:sz="4" w:space="0"/>
              <w:left w:val="single" w:color="auto" w:sz="4" w:space="0"/>
              <w:bottom w:val="single" w:color="auto" w:sz="4" w:space="0"/>
              <w:right w:val="single" w:color="auto" w:sz="4" w:space="0"/>
            </w:tcBorders>
            <w:noWrap/>
            <w:vAlign w:val="top"/>
          </w:tcPr>
          <w:p w14:paraId="25A8D1D7">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99" w:type="pct"/>
            <w:tcBorders>
              <w:top w:val="single" w:color="auto" w:sz="4" w:space="0"/>
              <w:left w:val="single" w:color="auto" w:sz="4" w:space="0"/>
              <w:bottom w:val="single" w:color="auto" w:sz="4" w:space="0"/>
              <w:right w:val="single" w:color="auto" w:sz="4" w:space="0"/>
            </w:tcBorders>
            <w:noWrap/>
            <w:vAlign w:val="top"/>
          </w:tcPr>
          <w:p w14:paraId="0013504B">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432" w:type="pct"/>
            <w:tcBorders>
              <w:top w:val="single" w:color="auto" w:sz="4" w:space="0"/>
              <w:left w:val="single" w:color="auto" w:sz="4" w:space="0"/>
              <w:bottom w:val="single" w:color="auto" w:sz="4" w:space="0"/>
              <w:right w:val="single" w:color="auto" w:sz="4" w:space="0"/>
            </w:tcBorders>
            <w:noWrap/>
            <w:vAlign w:val="top"/>
          </w:tcPr>
          <w:p w14:paraId="7C201D9B">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443" w:type="pct"/>
            <w:tcBorders>
              <w:top w:val="single" w:color="auto" w:sz="4" w:space="0"/>
              <w:left w:val="single" w:color="auto" w:sz="4" w:space="0"/>
              <w:bottom w:val="single" w:color="auto" w:sz="4" w:space="0"/>
              <w:right w:val="single" w:color="auto" w:sz="4" w:space="0"/>
            </w:tcBorders>
            <w:noWrap/>
            <w:vAlign w:val="top"/>
          </w:tcPr>
          <w:p w14:paraId="5FD2E024">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1" w:type="pct"/>
            <w:tcBorders>
              <w:top w:val="single" w:color="auto" w:sz="4" w:space="0"/>
              <w:left w:val="single" w:color="auto" w:sz="4" w:space="0"/>
              <w:bottom w:val="single" w:color="auto" w:sz="4" w:space="0"/>
              <w:right w:val="single" w:color="auto" w:sz="4" w:space="0"/>
            </w:tcBorders>
            <w:noWrap/>
            <w:vAlign w:val="top"/>
          </w:tcPr>
          <w:p w14:paraId="69A9B271">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538" w:type="pct"/>
            <w:tcBorders>
              <w:top w:val="single" w:color="auto" w:sz="4" w:space="0"/>
              <w:left w:val="single" w:color="auto" w:sz="4" w:space="0"/>
              <w:bottom w:val="single" w:color="auto" w:sz="4" w:space="0"/>
              <w:right w:val="single" w:color="auto" w:sz="4" w:space="0"/>
            </w:tcBorders>
            <w:noWrap/>
            <w:vAlign w:val="top"/>
          </w:tcPr>
          <w:p w14:paraId="758C7F28">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862" w:type="pct"/>
            <w:tcBorders>
              <w:top w:val="single" w:color="auto" w:sz="4" w:space="0"/>
              <w:left w:val="single" w:color="auto" w:sz="4" w:space="0"/>
              <w:bottom w:val="single" w:color="auto" w:sz="4" w:space="0"/>
              <w:right w:val="single" w:color="auto" w:sz="12" w:space="0"/>
            </w:tcBorders>
            <w:noWrap/>
            <w:vAlign w:val="top"/>
          </w:tcPr>
          <w:p w14:paraId="3329B367">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r>
      <w:tr w14:paraId="32B5AB7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68" w:hRule="atLeast"/>
        </w:trPr>
        <w:tc>
          <w:tcPr>
            <w:tcW w:w="368" w:type="pct"/>
            <w:tcBorders>
              <w:top w:val="single" w:color="auto" w:sz="4" w:space="0"/>
              <w:left w:val="single" w:color="auto" w:sz="12" w:space="0"/>
              <w:bottom w:val="single" w:color="auto" w:sz="4" w:space="0"/>
              <w:right w:val="single" w:color="auto" w:sz="4" w:space="0"/>
            </w:tcBorders>
            <w:noWrap/>
            <w:vAlign w:val="top"/>
          </w:tcPr>
          <w:p w14:paraId="519CF333">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28" w:type="pct"/>
            <w:tcBorders>
              <w:top w:val="single" w:color="auto" w:sz="4" w:space="0"/>
              <w:left w:val="single" w:color="auto" w:sz="4" w:space="0"/>
              <w:bottom w:val="single" w:color="auto" w:sz="4" w:space="0"/>
              <w:right w:val="single" w:color="auto" w:sz="4" w:space="0"/>
            </w:tcBorders>
            <w:noWrap/>
            <w:vAlign w:val="top"/>
          </w:tcPr>
          <w:p w14:paraId="3F05D1C3">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63" w:type="pct"/>
            <w:tcBorders>
              <w:top w:val="single" w:color="auto" w:sz="4" w:space="0"/>
              <w:left w:val="single" w:color="auto" w:sz="4" w:space="0"/>
              <w:bottom w:val="single" w:color="auto" w:sz="4" w:space="0"/>
              <w:right w:val="single" w:color="auto" w:sz="4" w:space="0"/>
            </w:tcBorders>
            <w:noWrap/>
            <w:vAlign w:val="top"/>
          </w:tcPr>
          <w:p w14:paraId="663C23F8">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p>
        </w:tc>
        <w:tc>
          <w:tcPr>
            <w:tcW w:w="699" w:type="pct"/>
            <w:tcBorders>
              <w:top w:val="single" w:color="auto" w:sz="4" w:space="0"/>
              <w:left w:val="single" w:color="auto" w:sz="4" w:space="0"/>
              <w:bottom w:val="single" w:color="auto" w:sz="4" w:space="0"/>
              <w:right w:val="single" w:color="auto" w:sz="4" w:space="0"/>
            </w:tcBorders>
            <w:noWrap/>
            <w:vAlign w:val="top"/>
          </w:tcPr>
          <w:p w14:paraId="7F6AA00B">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432" w:type="pct"/>
            <w:tcBorders>
              <w:top w:val="single" w:color="auto" w:sz="4" w:space="0"/>
              <w:left w:val="single" w:color="auto" w:sz="4" w:space="0"/>
              <w:bottom w:val="single" w:color="auto" w:sz="4" w:space="0"/>
              <w:right w:val="single" w:color="auto" w:sz="4" w:space="0"/>
            </w:tcBorders>
            <w:noWrap/>
            <w:vAlign w:val="top"/>
          </w:tcPr>
          <w:p w14:paraId="7EBB11FD">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443" w:type="pct"/>
            <w:tcBorders>
              <w:top w:val="single" w:color="auto" w:sz="4" w:space="0"/>
              <w:left w:val="single" w:color="auto" w:sz="4" w:space="0"/>
              <w:bottom w:val="single" w:color="auto" w:sz="4" w:space="0"/>
              <w:right w:val="single" w:color="auto" w:sz="4" w:space="0"/>
            </w:tcBorders>
            <w:noWrap/>
            <w:vAlign w:val="top"/>
          </w:tcPr>
          <w:p w14:paraId="06B11A46">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1" w:type="pct"/>
            <w:tcBorders>
              <w:top w:val="single" w:color="auto" w:sz="4" w:space="0"/>
              <w:left w:val="single" w:color="auto" w:sz="4" w:space="0"/>
              <w:bottom w:val="single" w:color="auto" w:sz="4" w:space="0"/>
              <w:right w:val="single" w:color="auto" w:sz="4" w:space="0"/>
            </w:tcBorders>
            <w:noWrap/>
            <w:vAlign w:val="top"/>
          </w:tcPr>
          <w:p w14:paraId="4835ED2F">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538" w:type="pct"/>
            <w:tcBorders>
              <w:top w:val="single" w:color="auto" w:sz="4" w:space="0"/>
              <w:left w:val="single" w:color="auto" w:sz="4" w:space="0"/>
              <w:bottom w:val="single" w:color="auto" w:sz="4" w:space="0"/>
              <w:right w:val="single" w:color="auto" w:sz="4" w:space="0"/>
            </w:tcBorders>
            <w:noWrap/>
            <w:vAlign w:val="top"/>
          </w:tcPr>
          <w:p w14:paraId="70AD2A98">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862" w:type="pct"/>
            <w:tcBorders>
              <w:top w:val="single" w:color="auto" w:sz="4" w:space="0"/>
              <w:left w:val="single" w:color="auto" w:sz="4" w:space="0"/>
              <w:bottom w:val="single" w:color="auto" w:sz="4" w:space="0"/>
              <w:right w:val="single" w:color="auto" w:sz="12" w:space="0"/>
            </w:tcBorders>
            <w:noWrap/>
            <w:vAlign w:val="top"/>
          </w:tcPr>
          <w:p w14:paraId="64366718">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r>
      <w:tr w14:paraId="4D2B05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368" w:type="pct"/>
            <w:tcBorders>
              <w:top w:val="single" w:color="auto" w:sz="4" w:space="0"/>
              <w:left w:val="single" w:color="auto" w:sz="12" w:space="0"/>
              <w:bottom w:val="single" w:color="auto" w:sz="4" w:space="0"/>
              <w:right w:val="single" w:color="auto" w:sz="4" w:space="0"/>
            </w:tcBorders>
            <w:noWrap/>
            <w:vAlign w:val="top"/>
          </w:tcPr>
          <w:p w14:paraId="3C4C9D80">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28" w:type="pct"/>
            <w:tcBorders>
              <w:top w:val="single" w:color="auto" w:sz="4" w:space="0"/>
              <w:left w:val="single" w:color="auto" w:sz="4" w:space="0"/>
              <w:bottom w:val="single" w:color="auto" w:sz="4" w:space="0"/>
              <w:right w:val="single" w:color="auto" w:sz="4" w:space="0"/>
            </w:tcBorders>
            <w:noWrap/>
            <w:vAlign w:val="top"/>
          </w:tcPr>
          <w:p w14:paraId="3B273383">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63" w:type="pct"/>
            <w:tcBorders>
              <w:top w:val="single" w:color="auto" w:sz="4" w:space="0"/>
              <w:left w:val="single" w:color="auto" w:sz="4" w:space="0"/>
              <w:bottom w:val="single" w:color="auto" w:sz="4" w:space="0"/>
              <w:right w:val="single" w:color="auto" w:sz="4" w:space="0"/>
            </w:tcBorders>
            <w:noWrap/>
            <w:vAlign w:val="top"/>
          </w:tcPr>
          <w:p w14:paraId="43C2F49C">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p>
        </w:tc>
        <w:tc>
          <w:tcPr>
            <w:tcW w:w="699" w:type="pct"/>
            <w:tcBorders>
              <w:top w:val="single" w:color="auto" w:sz="4" w:space="0"/>
              <w:left w:val="single" w:color="auto" w:sz="4" w:space="0"/>
              <w:bottom w:val="single" w:color="auto" w:sz="4" w:space="0"/>
              <w:right w:val="single" w:color="auto" w:sz="4" w:space="0"/>
            </w:tcBorders>
            <w:noWrap/>
            <w:vAlign w:val="top"/>
          </w:tcPr>
          <w:p w14:paraId="32C98713">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432" w:type="pct"/>
            <w:tcBorders>
              <w:top w:val="single" w:color="auto" w:sz="4" w:space="0"/>
              <w:left w:val="single" w:color="auto" w:sz="4" w:space="0"/>
              <w:bottom w:val="single" w:color="auto" w:sz="4" w:space="0"/>
              <w:right w:val="single" w:color="auto" w:sz="4" w:space="0"/>
            </w:tcBorders>
            <w:noWrap/>
            <w:vAlign w:val="top"/>
          </w:tcPr>
          <w:p w14:paraId="10024B35">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443" w:type="pct"/>
            <w:tcBorders>
              <w:top w:val="single" w:color="auto" w:sz="4" w:space="0"/>
              <w:left w:val="single" w:color="auto" w:sz="4" w:space="0"/>
              <w:bottom w:val="single" w:color="auto" w:sz="4" w:space="0"/>
              <w:right w:val="single" w:color="auto" w:sz="4" w:space="0"/>
            </w:tcBorders>
            <w:noWrap/>
            <w:vAlign w:val="top"/>
          </w:tcPr>
          <w:p w14:paraId="2977E3A3">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1" w:type="pct"/>
            <w:tcBorders>
              <w:top w:val="single" w:color="auto" w:sz="4" w:space="0"/>
              <w:left w:val="single" w:color="auto" w:sz="4" w:space="0"/>
              <w:bottom w:val="single" w:color="auto" w:sz="4" w:space="0"/>
              <w:right w:val="single" w:color="auto" w:sz="4" w:space="0"/>
            </w:tcBorders>
            <w:noWrap/>
            <w:vAlign w:val="top"/>
          </w:tcPr>
          <w:p w14:paraId="430B2A2F">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538" w:type="pct"/>
            <w:tcBorders>
              <w:top w:val="single" w:color="auto" w:sz="4" w:space="0"/>
              <w:left w:val="single" w:color="auto" w:sz="4" w:space="0"/>
              <w:bottom w:val="single" w:color="auto" w:sz="4" w:space="0"/>
              <w:right w:val="single" w:color="auto" w:sz="4" w:space="0"/>
            </w:tcBorders>
            <w:noWrap/>
            <w:vAlign w:val="top"/>
          </w:tcPr>
          <w:p w14:paraId="025D70AE">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862" w:type="pct"/>
            <w:tcBorders>
              <w:top w:val="single" w:color="auto" w:sz="4" w:space="0"/>
              <w:left w:val="single" w:color="auto" w:sz="4" w:space="0"/>
              <w:bottom w:val="single" w:color="auto" w:sz="4" w:space="0"/>
              <w:right w:val="single" w:color="auto" w:sz="12" w:space="0"/>
            </w:tcBorders>
            <w:noWrap/>
            <w:vAlign w:val="top"/>
          </w:tcPr>
          <w:p w14:paraId="0FC82238">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r>
      <w:tr w14:paraId="17E81D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368" w:type="pct"/>
            <w:tcBorders>
              <w:top w:val="single" w:color="auto" w:sz="4" w:space="0"/>
              <w:left w:val="single" w:color="auto" w:sz="12" w:space="0"/>
              <w:bottom w:val="single" w:color="auto" w:sz="4" w:space="0"/>
              <w:right w:val="single" w:color="auto" w:sz="4" w:space="0"/>
            </w:tcBorders>
            <w:noWrap/>
            <w:vAlign w:val="top"/>
          </w:tcPr>
          <w:p w14:paraId="39AFA4C7">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28" w:type="pct"/>
            <w:tcBorders>
              <w:top w:val="single" w:color="auto" w:sz="4" w:space="0"/>
              <w:left w:val="single" w:color="auto" w:sz="4" w:space="0"/>
              <w:bottom w:val="single" w:color="auto" w:sz="4" w:space="0"/>
              <w:right w:val="single" w:color="auto" w:sz="4" w:space="0"/>
            </w:tcBorders>
            <w:noWrap/>
            <w:vAlign w:val="top"/>
          </w:tcPr>
          <w:p w14:paraId="30D4541D">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p>
        </w:tc>
        <w:tc>
          <w:tcPr>
            <w:tcW w:w="663" w:type="pct"/>
            <w:tcBorders>
              <w:top w:val="single" w:color="auto" w:sz="4" w:space="0"/>
              <w:left w:val="single" w:color="auto" w:sz="4" w:space="0"/>
              <w:bottom w:val="single" w:color="auto" w:sz="4" w:space="0"/>
              <w:right w:val="single" w:color="auto" w:sz="4" w:space="0"/>
            </w:tcBorders>
            <w:noWrap/>
            <w:vAlign w:val="top"/>
          </w:tcPr>
          <w:p w14:paraId="49AE1206">
            <w:pPr>
              <w:pageBreakBefore w:val="0"/>
              <w:kinsoku/>
              <w:wordWrap/>
              <w:overflowPunct/>
              <w:topLinePunct w:val="0"/>
              <w:autoSpaceDE/>
              <w:autoSpaceDN/>
              <w:bidi w:val="0"/>
              <w:adjustRightInd/>
              <w:spacing w:before="0"/>
              <w:ind w:left="0"/>
              <w:jc w:val="both"/>
              <w:outlineLvl w:val="9"/>
              <w:rPr>
                <w:rFonts w:hint="eastAsia" w:asciiTheme="minorEastAsia" w:hAnsiTheme="minorEastAsia" w:eastAsiaTheme="minorEastAsia" w:cstheme="minorEastAsia"/>
                <w:color w:val="000000"/>
                <w:kern w:val="2"/>
                <w:sz w:val="24"/>
                <w:szCs w:val="24"/>
                <w:highlight w:val="none"/>
              </w:rPr>
            </w:pPr>
          </w:p>
        </w:tc>
        <w:tc>
          <w:tcPr>
            <w:tcW w:w="699" w:type="pct"/>
            <w:tcBorders>
              <w:top w:val="single" w:color="auto" w:sz="4" w:space="0"/>
              <w:left w:val="single" w:color="auto" w:sz="4" w:space="0"/>
              <w:bottom w:val="single" w:color="auto" w:sz="4" w:space="0"/>
              <w:right w:val="single" w:color="auto" w:sz="4" w:space="0"/>
            </w:tcBorders>
            <w:noWrap/>
            <w:vAlign w:val="top"/>
          </w:tcPr>
          <w:p w14:paraId="7463DF89">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432" w:type="pct"/>
            <w:tcBorders>
              <w:top w:val="single" w:color="auto" w:sz="4" w:space="0"/>
              <w:left w:val="single" w:color="auto" w:sz="4" w:space="0"/>
              <w:bottom w:val="single" w:color="auto" w:sz="4" w:space="0"/>
              <w:right w:val="single" w:color="auto" w:sz="4" w:space="0"/>
            </w:tcBorders>
            <w:noWrap/>
            <w:vAlign w:val="top"/>
          </w:tcPr>
          <w:p w14:paraId="1F1C305D">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443" w:type="pct"/>
            <w:tcBorders>
              <w:top w:val="single" w:color="auto" w:sz="4" w:space="0"/>
              <w:left w:val="single" w:color="auto" w:sz="4" w:space="0"/>
              <w:bottom w:val="single" w:color="auto" w:sz="4" w:space="0"/>
              <w:right w:val="single" w:color="auto" w:sz="4" w:space="0"/>
            </w:tcBorders>
            <w:noWrap/>
            <w:vAlign w:val="top"/>
          </w:tcPr>
          <w:p w14:paraId="68B19AF6">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1" w:type="pct"/>
            <w:tcBorders>
              <w:top w:val="single" w:color="auto" w:sz="4" w:space="0"/>
              <w:left w:val="single" w:color="auto" w:sz="4" w:space="0"/>
              <w:bottom w:val="single" w:color="auto" w:sz="4" w:space="0"/>
              <w:right w:val="single" w:color="auto" w:sz="4" w:space="0"/>
            </w:tcBorders>
            <w:noWrap/>
            <w:vAlign w:val="top"/>
          </w:tcPr>
          <w:p w14:paraId="480DC29C">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538" w:type="pct"/>
            <w:tcBorders>
              <w:top w:val="single" w:color="auto" w:sz="4" w:space="0"/>
              <w:left w:val="single" w:color="auto" w:sz="4" w:space="0"/>
              <w:bottom w:val="single" w:color="auto" w:sz="4" w:space="0"/>
              <w:right w:val="single" w:color="auto" w:sz="4" w:space="0"/>
            </w:tcBorders>
            <w:noWrap/>
            <w:vAlign w:val="top"/>
          </w:tcPr>
          <w:p w14:paraId="69D95A92">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862" w:type="pct"/>
            <w:tcBorders>
              <w:top w:val="single" w:color="auto" w:sz="4" w:space="0"/>
              <w:left w:val="single" w:color="auto" w:sz="4" w:space="0"/>
              <w:bottom w:val="single" w:color="auto" w:sz="4" w:space="0"/>
              <w:right w:val="single" w:color="auto" w:sz="12" w:space="0"/>
            </w:tcBorders>
            <w:noWrap/>
            <w:vAlign w:val="top"/>
          </w:tcPr>
          <w:p w14:paraId="6200A757">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r>
      <w:tr w14:paraId="33D13E4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368" w:type="pct"/>
            <w:tcBorders>
              <w:top w:val="single" w:color="auto" w:sz="4" w:space="0"/>
              <w:left w:val="single" w:color="auto" w:sz="12" w:space="0"/>
              <w:bottom w:val="single" w:color="auto" w:sz="4" w:space="0"/>
              <w:right w:val="single" w:color="auto" w:sz="4" w:space="0"/>
            </w:tcBorders>
            <w:noWrap/>
            <w:vAlign w:val="top"/>
          </w:tcPr>
          <w:p w14:paraId="2EEBF42A">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28" w:type="pct"/>
            <w:tcBorders>
              <w:top w:val="single" w:color="auto" w:sz="4" w:space="0"/>
              <w:left w:val="single" w:color="auto" w:sz="4" w:space="0"/>
              <w:bottom w:val="single" w:color="auto" w:sz="4" w:space="0"/>
              <w:right w:val="single" w:color="auto" w:sz="4" w:space="0"/>
            </w:tcBorders>
            <w:noWrap/>
            <w:vAlign w:val="top"/>
          </w:tcPr>
          <w:p w14:paraId="36188E5C">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63" w:type="pct"/>
            <w:tcBorders>
              <w:top w:val="single" w:color="auto" w:sz="4" w:space="0"/>
              <w:left w:val="single" w:color="auto" w:sz="4" w:space="0"/>
              <w:bottom w:val="single" w:color="auto" w:sz="4" w:space="0"/>
              <w:right w:val="single" w:color="auto" w:sz="4" w:space="0"/>
            </w:tcBorders>
            <w:noWrap/>
            <w:vAlign w:val="top"/>
          </w:tcPr>
          <w:p w14:paraId="7FDC29D8">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99" w:type="pct"/>
            <w:tcBorders>
              <w:top w:val="single" w:color="auto" w:sz="4" w:space="0"/>
              <w:left w:val="single" w:color="auto" w:sz="4" w:space="0"/>
              <w:bottom w:val="single" w:color="auto" w:sz="4" w:space="0"/>
              <w:right w:val="single" w:color="auto" w:sz="4" w:space="0"/>
            </w:tcBorders>
            <w:noWrap/>
            <w:vAlign w:val="top"/>
          </w:tcPr>
          <w:p w14:paraId="61785BB8">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432" w:type="pct"/>
            <w:tcBorders>
              <w:top w:val="single" w:color="auto" w:sz="4" w:space="0"/>
              <w:left w:val="single" w:color="auto" w:sz="4" w:space="0"/>
              <w:bottom w:val="single" w:color="auto" w:sz="4" w:space="0"/>
              <w:right w:val="single" w:color="auto" w:sz="4" w:space="0"/>
            </w:tcBorders>
            <w:noWrap/>
            <w:vAlign w:val="top"/>
          </w:tcPr>
          <w:p w14:paraId="1B6CB9E8">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443" w:type="pct"/>
            <w:tcBorders>
              <w:top w:val="single" w:color="auto" w:sz="4" w:space="0"/>
              <w:left w:val="single" w:color="auto" w:sz="4" w:space="0"/>
              <w:bottom w:val="single" w:color="auto" w:sz="4" w:space="0"/>
              <w:right w:val="single" w:color="auto" w:sz="4" w:space="0"/>
            </w:tcBorders>
            <w:noWrap/>
            <w:vAlign w:val="top"/>
          </w:tcPr>
          <w:p w14:paraId="50A8E380">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1" w:type="pct"/>
            <w:tcBorders>
              <w:top w:val="single" w:color="auto" w:sz="4" w:space="0"/>
              <w:left w:val="single" w:color="auto" w:sz="4" w:space="0"/>
              <w:bottom w:val="single" w:color="auto" w:sz="4" w:space="0"/>
              <w:right w:val="single" w:color="auto" w:sz="4" w:space="0"/>
            </w:tcBorders>
            <w:noWrap/>
            <w:vAlign w:val="top"/>
          </w:tcPr>
          <w:p w14:paraId="746491B5">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538" w:type="pct"/>
            <w:tcBorders>
              <w:top w:val="single" w:color="auto" w:sz="4" w:space="0"/>
              <w:left w:val="single" w:color="auto" w:sz="4" w:space="0"/>
              <w:bottom w:val="single" w:color="auto" w:sz="4" w:space="0"/>
              <w:right w:val="single" w:color="auto" w:sz="4" w:space="0"/>
            </w:tcBorders>
            <w:noWrap/>
            <w:vAlign w:val="top"/>
          </w:tcPr>
          <w:p w14:paraId="59CFA893">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862" w:type="pct"/>
            <w:tcBorders>
              <w:top w:val="single" w:color="auto" w:sz="4" w:space="0"/>
              <w:left w:val="single" w:color="auto" w:sz="4" w:space="0"/>
              <w:bottom w:val="single" w:color="auto" w:sz="4" w:space="0"/>
              <w:right w:val="single" w:color="auto" w:sz="12" w:space="0"/>
            </w:tcBorders>
            <w:noWrap/>
            <w:vAlign w:val="top"/>
          </w:tcPr>
          <w:p w14:paraId="230DD1AE">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r>
      <w:tr w14:paraId="4CE6B21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368" w:type="pct"/>
            <w:tcBorders>
              <w:top w:val="single" w:color="auto" w:sz="4" w:space="0"/>
              <w:left w:val="single" w:color="auto" w:sz="12" w:space="0"/>
              <w:bottom w:val="single" w:color="auto" w:sz="4" w:space="0"/>
              <w:right w:val="single" w:color="auto" w:sz="4" w:space="0"/>
            </w:tcBorders>
            <w:noWrap/>
            <w:vAlign w:val="top"/>
          </w:tcPr>
          <w:p w14:paraId="4AD6498A">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28" w:type="pct"/>
            <w:tcBorders>
              <w:top w:val="single" w:color="auto" w:sz="4" w:space="0"/>
              <w:left w:val="single" w:color="auto" w:sz="4" w:space="0"/>
              <w:bottom w:val="single" w:color="auto" w:sz="4" w:space="0"/>
              <w:right w:val="single" w:color="auto" w:sz="4" w:space="0"/>
            </w:tcBorders>
            <w:noWrap/>
            <w:vAlign w:val="top"/>
          </w:tcPr>
          <w:p w14:paraId="29B9312A">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63" w:type="pct"/>
            <w:tcBorders>
              <w:top w:val="single" w:color="auto" w:sz="4" w:space="0"/>
              <w:left w:val="single" w:color="auto" w:sz="4" w:space="0"/>
              <w:bottom w:val="single" w:color="auto" w:sz="4" w:space="0"/>
              <w:right w:val="single" w:color="auto" w:sz="4" w:space="0"/>
            </w:tcBorders>
            <w:noWrap/>
            <w:vAlign w:val="top"/>
          </w:tcPr>
          <w:p w14:paraId="7388BEB5">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99" w:type="pct"/>
            <w:tcBorders>
              <w:top w:val="single" w:color="auto" w:sz="4" w:space="0"/>
              <w:left w:val="single" w:color="auto" w:sz="4" w:space="0"/>
              <w:bottom w:val="single" w:color="auto" w:sz="4" w:space="0"/>
              <w:right w:val="single" w:color="auto" w:sz="4" w:space="0"/>
            </w:tcBorders>
            <w:noWrap/>
            <w:vAlign w:val="top"/>
          </w:tcPr>
          <w:p w14:paraId="1840D755">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432" w:type="pct"/>
            <w:tcBorders>
              <w:top w:val="single" w:color="auto" w:sz="4" w:space="0"/>
              <w:left w:val="single" w:color="auto" w:sz="4" w:space="0"/>
              <w:bottom w:val="single" w:color="auto" w:sz="4" w:space="0"/>
              <w:right w:val="single" w:color="auto" w:sz="4" w:space="0"/>
            </w:tcBorders>
            <w:noWrap/>
            <w:vAlign w:val="top"/>
          </w:tcPr>
          <w:p w14:paraId="3085B161">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443" w:type="pct"/>
            <w:tcBorders>
              <w:top w:val="single" w:color="auto" w:sz="4" w:space="0"/>
              <w:left w:val="single" w:color="auto" w:sz="4" w:space="0"/>
              <w:bottom w:val="single" w:color="auto" w:sz="4" w:space="0"/>
              <w:right w:val="single" w:color="auto" w:sz="4" w:space="0"/>
            </w:tcBorders>
            <w:noWrap/>
            <w:vAlign w:val="top"/>
          </w:tcPr>
          <w:p w14:paraId="76668AD7">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361" w:type="pct"/>
            <w:tcBorders>
              <w:top w:val="single" w:color="auto" w:sz="4" w:space="0"/>
              <w:left w:val="single" w:color="auto" w:sz="4" w:space="0"/>
              <w:bottom w:val="single" w:color="auto" w:sz="4" w:space="0"/>
              <w:right w:val="single" w:color="auto" w:sz="4" w:space="0"/>
            </w:tcBorders>
            <w:noWrap/>
            <w:vAlign w:val="top"/>
          </w:tcPr>
          <w:p w14:paraId="48C0BDA4">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538" w:type="pct"/>
            <w:tcBorders>
              <w:top w:val="single" w:color="auto" w:sz="4" w:space="0"/>
              <w:left w:val="single" w:color="auto" w:sz="4" w:space="0"/>
              <w:bottom w:val="single" w:color="auto" w:sz="4" w:space="0"/>
              <w:right w:val="single" w:color="auto" w:sz="4" w:space="0"/>
            </w:tcBorders>
            <w:noWrap/>
            <w:vAlign w:val="top"/>
          </w:tcPr>
          <w:p w14:paraId="08803F6D">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862" w:type="pct"/>
            <w:tcBorders>
              <w:top w:val="single" w:color="auto" w:sz="4" w:space="0"/>
              <w:left w:val="single" w:color="auto" w:sz="4" w:space="0"/>
              <w:bottom w:val="single" w:color="auto" w:sz="4" w:space="0"/>
              <w:right w:val="single" w:color="auto" w:sz="12" w:space="0"/>
            </w:tcBorders>
            <w:noWrap/>
            <w:vAlign w:val="top"/>
          </w:tcPr>
          <w:p w14:paraId="730B6719">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r>
      <w:tr w14:paraId="3B7055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368" w:type="pct"/>
            <w:tcBorders>
              <w:top w:val="single" w:color="auto" w:sz="4" w:space="0"/>
              <w:left w:val="single" w:color="auto" w:sz="12" w:space="0"/>
              <w:bottom w:val="single" w:color="auto" w:sz="12" w:space="0"/>
              <w:right w:val="single" w:color="auto" w:sz="4" w:space="0"/>
            </w:tcBorders>
            <w:noWrap/>
            <w:vAlign w:val="top"/>
          </w:tcPr>
          <w:p w14:paraId="20E4EA7E">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p>
        </w:tc>
        <w:tc>
          <w:tcPr>
            <w:tcW w:w="628" w:type="pct"/>
            <w:tcBorders>
              <w:top w:val="single" w:color="auto" w:sz="4" w:space="0"/>
              <w:left w:val="single" w:color="auto" w:sz="4" w:space="0"/>
              <w:bottom w:val="single" w:color="auto" w:sz="12" w:space="0"/>
              <w:right w:val="single" w:color="auto" w:sz="4" w:space="0"/>
            </w:tcBorders>
            <w:noWrap/>
            <w:vAlign w:val="center"/>
          </w:tcPr>
          <w:p w14:paraId="6B428A72">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bookmarkStart w:id="45" w:name="_Toc32106"/>
            <w:bookmarkStart w:id="46" w:name="_Toc19124"/>
            <w:bookmarkStart w:id="47" w:name="_Toc29310"/>
            <w:bookmarkStart w:id="48" w:name="_Toc19191"/>
            <w:bookmarkStart w:id="49" w:name="_Toc21829"/>
            <w:r>
              <w:rPr>
                <w:rFonts w:hint="eastAsia" w:asciiTheme="minorEastAsia" w:hAnsiTheme="minorEastAsia" w:eastAsiaTheme="minorEastAsia" w:cstheme="minorEastAsia"/>
                <w:color w:val="000000"/>
                <w:kern w:val="2"/>
                <w:sz w:val="24"/>
                <w:szCs w:val="24"/>
                <w:highlight w:val="none"/>
              </w:rPr>
              <w:t>合计</w:t>
            </w:r>
            <w:bookmarkEnd w:id="45"/>
            <w:bookmarkEnd w:id="46"/>
            <w:bookmarkEnd w:id="47"/>
            <w:bookmarkEnd w:id="48"/>
            <w:bookmarkEnd w:id="49"/>
          </w:p>
        </w:tc>
        <w:tc>
          <w:tcPr>
            <w:tcW w:w="2600" w:type="pct"/>
            <w:gridSpan w:val="5"/>
            <w:tcBorders>
              <w:top w:val="single" w:color="auto" w:sz="4" w:space="0"/>
              <w:left w:val="single" w:color="auto" w:sz="4" w:space="0"/>
              <w:bottom w:val="single" w:color="auto" w:sz="12" w:space="0"/>
              <w:right w:val="single" w:color="auto" w:sz="4" w:space="0"/>
            </w:tcBorders>
            <w:noWrap/>
            <w:vAlign w:val="center"/>
          </w:tcPr>
          <w:p w14:paraId="22CB6CBB">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bookmarkStart w:id="50" w:name="_Toc25331"/>
            <w:bookmarkStart w:id="51" w:name="_Toc17082"/>
            <w:bookmarkStart w:id="52" w:name="_Toc2960"/>
            <w:bookmarkStart w:id="53" w:name="_Toc4152"/>
            <w:bookmarkStart w:id="54" w:name="_Toc14595"/>
            <w:r>
              <w:rPr>
                <w:rFonts w:hint="eastAsia" w:asciiTheme="minorEastAsia" w:hAnsiTheme="minorEastAsia" w:eastAsiaTheme="minorEastAsia" w:cstheme="minorEastAsia"/>
                <w:color w:val="000000"/>
                <w:kern w:val="2"/>
                <w:sz w:val="24"/>
                <w:szCs w:val="24"/>
                <w:highlight w:val="none"/>
              </w:rPr>
              <w:t>大写</w:t>
            </w:r>
            <w:bookmarkEnd w:id="50"/>
            <w:bookmarkEnd w:id="51"/>
            <w:bookmarkEnd w:id="52"/>
            <w:bookmarkEnd w:id="53"/>
            <w:bookmarkEnd w:id="54"/>
          </w:p>
        </w:tc>
        <w:tc>
          <w:tcPr>
            <w:tcW w:w="1401" w:type="pct"/>
            <w:gridSpan w:val="2"/>
            <w:tcBorders>
              <w:top w:val="single" w:color="auto" w:sz="4" w:space="0"/>
              <w:left w:val="single" w:color="auto" w:sz="4" w:space="0"/>
              <w:bottom w:val="single" w:color="auto" w:sz="12" w:space="0"/>
              <w:right w:val="single" w:color="auto" w:sz="12" w:space="0"/>
            </w:tcBorders>
            <w:noWrap/>
            <w:vAlign w:val="center"/>
          </w:tcPr>
          <w:p w14:paraId="3CF7BD27">
            <w:pPr>
              <w:pageBreakBefore w:val="0"/>
              <w:kinsoku/>
              <w:wordWrap/>
              <w:overflowPunct/>
              <w:topLinePunct w:val="0"/>
              <w:autoSpaceDE/>
              <w:autoSpaceDN/>
              <w:bidi w:val="0"/>
              <w:adjustRightInd/>
              <w:spacing w:before="0"/>
              <w:outlineLvl w:val="9"/>
              <w:rPr>
                <w:rFonts w:hint="eastAsia" w:asciiTheme="minorEastAsia" w:hAnsiTheme="minorEastAsia" w:eastAsiaTheme="minorEastAsia" w:cstheme="minorEastAsia"/>
                <w:color w:val="000000"/>
                <w:kern w:val="2"/>
                <w:sz w:val="24"/>
                <w:szCs w:val="24"/>
                <w:highlight w:val="none"/>
              </w:rPr>
            </w:pPr>
            <w:bookmarkStart w:id="55" w:name="_Toc7999"/>
            <w:bookmarkStart w:id="56" w:name="_Toc28580"/>
            <w:bookmarkStart w:id="57" w:name="_Toc13206"/>
            <w:bookmarkStart w:id="58" w:name="_Toc10954"/>
            <w:bookmarkStart w:id="59" w:name="_Toc29773"/>
            <w:r>
              <w:rPr>
                <w:rFonts w:hint="eastAsia" w:asciiTheme="minorEastAsia" w:hAnsiTheme="minorEastAsia" w:eastAsiaTheme="minorEastAsia" w:cstheme="minorEastAsia"/>
                <w:color w:val="000000"/>
                <w:kern w:val="2"/>
                <w:sz w:val="24"/>
                <w:szCs w:val="24"/>
                <w:highlight w:val="none"/>
              </w:rPr>
              <w:t>¥</w:t>
            </w:r>
            <w:bookmarkEnd w:id="55"/>
            <w:bookmarkEnd w:id="56"/>
            <w:bookmarkEnd w:id="57"/>
            <w:bookmarkEnd w:id="58"/>
            <w:bookmarkEnd w:id="59"/>
          </w:p>
        </w:tc>
      </w:tr>
    </w:tbl>
    <w:p w14:paraId="7FBBCC58">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b/>
          <w:bCs/>
          <w:sz w:val="24"/>
          <w:szCs w:val="24"/>
          <w:highlight w:val="none"/>
        </w:rPr>
      </w:pPr>
      <w:bookmarkStart w:id="60" w:name="_Toc25260"/>
      <w:r>
        <w:rPr>
          <w:rFonts w:hint="eastAsia" w:asciiTheme="minorEastAsia" w:hAnsiTheme="minorEastAsia" w:eastAsiaTheme="minorEastAsia" w:cstheme="minorEastAsia"/>
          <w:b/>
          <w:bCs/>
          <w:sz w:val="24"/>
          <w:szCs w:val="24"/>
          <w:highlight w:val="none"/>
        </w:rPr>
        <w:t>第二条 合同价款</w:t>
      </w:r>
      <w:bookmarkEnd w:id="60"/>
    </w:p>
    <w:p w14:paraId="670DED2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highlight w:val="none"/>
        </w:rPr>
      </w:pPr>
      <w:bookmarkStart w:id="61" w:name="_Toc12829"/>
      <w:r>
        <w:rPr>
          <w:rFonts w:hint="eastAsia" w:asciiTheme="minorEastAsia" w:hAnsiTheme="minorEastAsia" w:eastAsiaTheme="minorEastAsia" w:cstheme="minorEastAsia"/>
          <w:sz w:val="24"/>
          <w:szCs w:val="24"/>
          <w:highlight w:val="none"/>
        </w:rPr>
        <w:t>1、合同总价</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人民币（大写）</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元，（</w:t>
      </w:r>
      <w:r>
        <w:rPr>
          <w:rFonts w:hint="eastAsia" w:asciiTheme="minorEastAsia" w:hAnsiTheme="minorEastAsia" w:eastAsiaTheme="minorEastAsia" w:cstheme="minorEastAsia"/>
          <w:b w:val="0"/>
          <w:sz w:val="24"/>
          <w:szCs w:val="24"/>
        </w:rPr>
        <w:t>¥</w:t>
      </w:r>
      <w:r>
        <w:rPr>
          <w:rFonts w:hint="eastAsia" w:asciiTheme="minorEastAsia" w:hAnsiTheme="minorEastAsia" w:eastAsiaTheme="minorEastAsia" w:cstheme="minorEastAsia"/>
          <w:b w:val="0"/>
          <w:sz w:val="24"/>
          <w:szCs w:val="24"/>
          <w:u w:val="single"/>
        </w:rPr>
        <w:t xml:space="preserve">           </w:t>
      </w:r>
      <w:r>
        <w:rPr>
          <w:rFonts w:hint="eastAsia" w:asciiTheme="minorEastAsia" w:hAnsiTheme="minorEastAsia" w:eastAsiaTheme="minorEastAsia" w:cstheme="minorEastAsia"/>
          <w:sz w:val="24"/>
          <w:szCs w:val="24"/>
          <w:highlight w:val="none"/>
        </w:rPr>
        <w:t>）。</w:t>
      </w:r>
      <w:bookmarkEnd w:id="61"/>
    </w:p>
    <w:p w14:paraId="7E4E84B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highlight w:val="none"/>
        </w:rPr>
      </w:pPr>
      <w:bookmarkStart w:id="62" w:name="_Toc29915"/>
      <w:r>
        <w:rPr>
          <w:rFonts w:hint="eastAsia" w:asciiTheme="minorEastAsia" w:hAnsiTheme="minorEastAsia" w:eastAsiaTheme="minorEastAsia" w:cstheme="minorEastAsia"/>
          <w:sz w:val="24"/>
          <w:szCs w:val="24"/>
          <w:highlight w:val="none"/>
        </w:rPr>
        <w:t>2、本合同总价是供应商为完成本次磋商所要求的货物、服务且验收合格的所有费用，包括但不限于产品(设备)费、材料、安装调试费、运杂费（含保险）、仓储保管费、技术培训费、检测费、劳务、风险、利润、规费、税金、验收、</w:t>
      </w:r>
      <w:r>
        <w:rPr>
          <w:rFonts w:hint="eastAsia" w:asciiTheme="minorEastAsia" w:hAnsiTheme="minorEastAsia" w:eastAsiaTheme="minorEastAsia" w:cstheme="minorEastAsia"/>
          <w:sz w:val="24"/>
          <w:szCs w:val="24"/>
          <w:highlight w:val="none"/>
          <w:lang w:val="en-US" w:eastAsia="zh-CN"/>
        </w:rPr>
        <w:t>售后、</w:t>
      </w:r>
      <w:r>
        <w:rPr>
          <w:rFonts w:hint="eastAsia" w:asciiTheme="minorEastAsia" w:hAnsiTheme="minorEastAsia" w:eastAsiaTheme="minorEastAsia" w:cstheme="minorEastAsia"/>
          <w:sz w:val="24"/>
          <w:szCs w:val="24"/>
          <w:highlight w:val="none"/>
        </w:rPr>
        <w:t>招标代理服务费、政策性文件规定的各项应有费用等其他一切相关费用。供应商所报的价格应考虑到可能发生的所有与完成本次磋商相关货物、服务及履行合同义务有关的一切费用。</w:t>
      </w:r>
      <w:bookmarkEnd w:id="62"/>
    </w:p>
    <w:p w14:paraId="327983F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highlight w:val="none"/>
        </w:rPr>
      </w:pPr>
      <w:bookmarkStart w:id="63" w:name="_Toc22881"/>
      <w:r>
        <w:rPr>
          <w:rFonts w:hint="eastAsia" w:asciiTheme="minorEastAsia" w:hAnsiTheme="minorEastAsia" w:eastAsiaTheme="minorEastAsia" w:cstheme="minorEastAsia"/>
          <w:sz w:val="24"/>
          <w:szCs w:val="24"/>
          <w:highlight w:val="none"/>
        </w:rPr>
        <w:t>3、本合同总价还包含乙方应当提供的伴随服务和售后服务费用。</w:t>
      </w:r>
      <w:bookmarkEnd w:id="63"/>
    </w:p>
    <w:p w14:paraId="59BCE2B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highlight w:val="none"/>
        </w:rPr>
      </w:pPr>
      <w:bookmarkStart w:id="64" w:name="_Toc9657"/>
      <w:r>
        <w:rPr>
          <w:rFonts w:hint="eastAsia" w:asciiTheme="minorEastAsia" w:hAnsiTheme="minorEastAsia" w:eastAsiaTheme="minorEastAsia" w:cstheme="minorEastAsia"/>
          <w:sz w:val="24"/>
          <w:szCs w:val="24"/>
          <w:highlight w:val="none"/>
        </w:rPr>
        <w:t>4、本合同执行期间合同总价不变，甲方无须另向乙方支付本合同规定之外的其他任何费用。</w:t>
      </w:r>
      <w:bookmarkEnd w:id="64"/>
    </w:p>
    <w:p w14:paraId="6C842DB6">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sz w:val="24"/>
          <w:szCs w:val="24"/>
          <w:highlight w:val="none"/>
        </w:rPr>
        <w:t>第三</w:t>
      </w:r>
      <w:r>
        <w:rPr>
          <w:rFonts w:hint="eastAsia" w:asciiTheme="minorEastAsia" w:hAnsiTheme="minorEastAsia" w:eastAsiaTheme="minorEastAsia" w:cstheme="minorEastAsia"/>
          <w:b/>
          <w:bCs/>
          <w:color w:val="auto"/>
          <w:sz w:val="24"/>
          <w:szCs w:val="24"/>
          <w:highlight w:val="none"/>
        </w:rPr>
        <w:t>条</w:t>
      </w:r>
      <w:r>
        <w:rPr>
          <w:rFonts w:hint="eastAsia" w:asciiTheme="minorEastAsia" w:hAnsiTheme="minorEastAsia" w:eastAsiaTheme="minorEastAsia" w:cstheme="minorEastAsia"/>
          <w:b/>
          <w:bCs/>
          <w:color w:val="auto"/>
          <w:sz w:val="24"/>
          <w:szCs w:val="24"/>
          <w:highlight w:val="none"/>
          <w:lang w:val="en-US" w:eastAsia="zh-CN"/>
        </w:rPr>
        <w:t xml:space="preserve"> </w:t>
      </w:r>
      <w:r>
        <w:rPr>
          <w:rFonts w:hint="eastAsia" w:asciiTheme="minorEastAsia" w:hAnsiTheme="minorEastAsia" w:eastAsiaTheme="minorEastAsia" w:cstheme="minorEastAsia"/>
          <w:b/>
          <w:bCs/>
          <w:color w:val="auto"/>
          <w:sz w:val="24"/>
          <w:szCs w:val="24"/>
          <w:highlight w:val="none"/>
        </w:rPr>
        <w:t>款项结算</w:t>
      </w:r>
    </w:p>
    <w:p w14:paraId="4ADC4A9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color w:val="auto"/>
          <w:sz w:val="24"/>
          <w:szCs w:val="24"/>
          <w:highlight w:val="none"/>
          <w:lang w:eastAsia="zh-CN"/>
        </w:rPr>
      </w:pPr>
      <w:bookmarkStart w:id="65" w:name="_Toc4711"/>
      <w:r>
        <w:rPr>
          <w:rFonts w:hint="eastAsia" w:asciiTheme="minorEastAsia" w:hAnsiTheme="minorEastAsia" w:eastAsiaTheme="minorEastAsia" w:cstheme="minorEastAsia"/>
          <w:color w:val="auto"/>
          <w:sz w:val="24"/>
          <w:szCs w:val="24"/>
          <w:highlight w:val="none"/>
        </w:rPr>
        <w:t>货物（产品）按下列比例支付价款：</w:t>
      </w:r>
      <w:bookmarkEnd w:id="65"/>
      <w:r>
        <w:rPr>
          <w:rFonts w:hint="eastAsia" w:asciiTheme="minorEastAsia" w:hAnsiTheme="minorEastAsia" w:eastAsiaTheme="minorEastAsia" w:cstheme="minorEastAsia"/>
          <w:color w:val="auto"/>
          <w:sz w:val="24"/>
          <w:szCs w:val="24"/>
          <w:highlight w:val="none"/>
          <w:lang w:val="en-US" w:eastAsia="zh-CN"/>
        </w:rPr>
        <w:t xml:space="preserve"> 合同签订后 ，达到付款条件起30日</w:t>
      </w:r>
      <w:r>
        <w:rPr>
          <w:rFonts w:hint="eastAsia" w:asciiTheme="minorEastAsia" w:hAnsiTheme="minorEastAsia" w:eastAsiaTheme="minorEastAsia" w:cstheme="minorEastAsia"/>
          <w:color w:val="auto"/>
          <w:sz w:val="24"/>
          <w:szCs w:val="24"/>
          <w:highlight w:val="none"/>
          <w:lang w:val="en-US" w:eastAsia="zh-CN"/>
        </w:rPr>
        <w:t>内，支付合同总金额的 100.00%</w:t>
      </w:r>
      <w:r>
        <w:rPr>
          <w:rFonts w:hint="eastAsia" w:asciiTheme="minorEastAsia" w:hAnsiTheme="minorEastAsia" w:eastAsiaTheme="minorEastAsia" w:cstheme="minorEastAsia"/>
          <w:color w:val="auto"/>
          <w:sz w:val="24"/>
          <w:szCs w:val="24"/>
          <w:highlight w:val="none"/>
        </w:rPr>
        <w:t>。</w:t>
      </w:r>
    </w:p>
    <w:p w14:paraId="5F83B4E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2、乙方须向甲方出具合法有效的完税发票，甲方进行支付结算。</w:t>
      </w:r>
    </w:p>
    <w:p w14:paraId="18101A3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Theme="minorEastAsia" w:hAnsiTheme="minorEastAsia" w:eastAsiaTheme="minorEastAsia" w:cstheme="minorEastAsia"/>
          <w:sz w:val="24"/>
          <w:szCs w:val="24"/>
          <w:highlight w:val="none"/>
        </w:rPr>
      </w:pPr>
      <w:bookmarkStart w:id="66" w:name="_Toc10542"/>
      <w:r>
        <w:rPr>
          <w:rFonts w:hint="eastAsia" w:asciiTheme="minorEastAsia" w:hAnsiTheme="minorEastAsia" w:eastAsiaTheme="minorEastAsia" w:cstheme="minorEastAsia"/>
          <w:sz w:val="24"/>
          <w:szCs w:val="24"/>
          <w:highlight w:val="none"/>
        </w:rPr>
        <w:t>3、结算方式：银行转账。</w:t>
      </w:r>
      <w:bookmarkEnd w:id="66"/>
    </w:p>
    <w:p w14:paraId="6FD79C78">
      <w:pPr>
        <w:pStyle w:val="6"/>
        <w:pageBreakBefore w:val="0"/>
        <w:kinsoku/>
        <w:wordWrap/>
        <w:overflowPunct/>
        <w:topLinePunct w:val="0"/>
        <w:autoSpaceDE/>
        <w:autoSpaceDN/>
        <w:bidi w:val="0"/>
        <w:adjustRightInd/>
        <w:spacing w:line="360" w:lineRule="auto"/>
        <w:outlineLvl w:val="9"/>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第四条</w:t>
      </w:r>
      <w:r>
        <w:rPr>
          <w:rFonts w:hint="eastAsia" w:asciiTheme="minorEastAsia" w:hAnsiTheme="minorEastAsia" w:eastAsiaTheme="minorEastAsia" w:cstheme="minorEastAsia"/>
          <w:b/>
          <w:bCs/>
          <w:sz w:val="24"/>
          <w:szCs w:val="24"/>
          <w:highlight w:val="none"/>
          <w:lang w:val="en-US" w:eastAsia="zh-CN"/>
        </w:rPr>
        <w:t xml:space="preserve"> </w:t>
      </w:r>
      <w:r>
        <w:rPr>
          <w:rFonts w:hint="eastAsia" w:asciiTheme="minorEastAsia" w:hAnsiTheme="minorEastAsia" w:eastAsiaTheme="minorEastAsia" w:cstheme="minorEastAsia"/>
          <w:b/>
          <w:bCs/>
          <w:sz w:val="24"/>
          <w:szCs w:val="24"/>
          <w:highlight w:val="none"/>
        </w:rPr>
        <w:t>权利保证</w:t>
      </w:r>
    </w:p>
    <w:p w14:paraId="5F5030EA">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bCs/>
          <w:color w:val="000000"/>
          <w:sz w:val="24"/>
          <w:szCs w:val="24"/>
          <w:highlight w:val="none"/>
        </w:rPr>
      </w:pPr>
      <w:r>
        <w:rPr>
          <w:rFonts w:hint="eastAsia" w:asciiTheme="minorEastAsia" w:hAnsiTheme="minorEastAsia" w:eastAsiaTheme="minorEastAsia" w:cstheme="minorEastAsia"/>
          <w:bCs/>
          <w:color w:val="000000"/>
          <w:sz w:val="24"/>
          <w:szCs w:val="24"/>
          <w:highlight w:val="none"/>
        </w:rPr>
        <w:t>1、乙方保证对其出售的货物享有合法的权利。</w:t>
      </w:r>
    </w:p>
    <w:p w14:paraId="6B65EFC2">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bCs/>
          <w:color w:val="000000"/>
          <w:sz w:val="24"/>
          <w:szCs w:val="24"/>
          <w:highlight w:val="none"/>
        </w:rPr>
      </w:pPr>
      <w:r>
        <w:rPr>
          <w:rFonts w:hint="eastAsia" w:asciiTheme="minorEastAsia" w:hAnsiTheme="minorEastAsia" w:eastAsiaTheme="minorEastAsia" w:cstheme="minorEastAsia"/>
          <w:bCs/>
          <w:color w:val="000000"/>
          <w:sz w:val="24"/>
          <w:szCs w:val="24"/>
          <w:highlight w:val="none"/>
        </w:rPr>
        <w:t>2、乙方保证对其出售的货物上不存在任何未曾向甲方透露的担保物权，如抵押权、质押权、留置权。</w:t>
      </w:r>
    </w:p>
    <w:p w14:paraId="49366F57">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bCs/>
          <w:color w:val="000000"/>
          <w:sz w:val="24"/>
          <w:szCs w:val="24"/>
          <w:highlight w:val="none"/>
        </w:rPr>
      </w:pPr>
      <w:r>
        <w:rPr>
          <w:rFonts w:hint="eastAsia" w:asciiTheme="minorEastAsia" w:hAnsiTheme="minorEastAsia" w:eastAsiaTheme="minorEastAsia" w:cstheme="minorEastAsia"/>
          <w:bCs/>
          <w:color w:val="000000"/>
          <w:sz w:val="24"/>
          <w:szCs w:val="24"/>
          <w:highlight w:val="none"/>
        </w:rPr>
        <w:t>3、乙方保证对其出售的货物或其任何一部分没有侵犯第三方的专利权、版权、商标权或其他权利。</w:t>
      </w:r>
    </w:p>
    <w:p w14:paraId="31DB9533">
      <w:pPr>
        <w:pStyle w:val="11"/>
        <w:pageBreakBefore w:val="0"/>
        <w:kinsoku/>
        <w:wordWrap/>
        <w:overflowPunct/>
        <w:topLinePunct w:val="0"/>
        <w:autoSpaceDE/>
        <w:autoSpaceDN/>
        <w:bidi w:val="0"/>
        <w:adjustRightInd/>
        <w:spacing w:line="360" w:lineRule="auto"/>
        <w:ind w:left="161" w:leftChars="67" w:firstLine="360" w:firstLineChars="150"/>
        <w:outlineLvl w:val="9"/>
        <w:rPr>
          <w:rFonts w:hint="eastAsia" w:asciiTheme="minorEastAsia" w:hAnsiTheme="minorEastAsia" w:eastAsiaTheme="minorEastAsia" w:cstheme="minorEastAsia"/>
          <w:bCs/>
          <w:color w:val="000000"/>
          <w:sz w:val="24"/>
          <w:szCs w:val="24"/>
          <w:highlight w:val="none"/>
        </w:rPr>
      </w:pPr>
      <w:r>
        <w:rPr>
          <w:rFonts w:hint="eastAsia" w:asciiTheme="minorEastAsia" w:hAnsiTheme="minorEastAsia" w:eastAsiaTheme="minorEastAsia" w:cstheme="minorEastAsia"/>
          <w:bCs/>
          <w:color w:val="000000"/>
          <w:sz w:val="24"/>
          <w:szCs w:val="24"/>
          <w:highlight w:val="none"/>
        </w:rPr>
        <w:t>4、如甲方在使用该货物构成上述侵权的，则由乙方承担全部责任。</w:t>
      </w:r>
    </w:p>
    <w:p w14:paraId="699077D6">
      <w:pPr>
        <w:pStyle w:val="6"/>
        <w:pageBreakBefore w:val="0"/>
        <w:kinsoku/>
        <w:wordWrap/>
        <w:overflowPunct/>
        <w:topLinePunct w:val="0"/>
        <w:autoSpaceDE/>
        <w:autoSpaceDN/>
        <w:bidi w:val="0"/>
        <w:adjustRightInd/>
        <w:spacing w:line="360" w:lineRule="auto"/>
        <w:outlineLvl w:val="9"/>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第五条</w:t>
      </w:r>
      <w:r>
        <w:rPr>
          <w:rFonts w:hint="eastAsia" w:asciiTheme="minorEastAsia" w:hAnsiTheme="minorEastAsia" w:eastAsiaTheme="minorEastAsia" w:cstheme="minorEastAsia"/>
          <w:b/>
          <w:bCs/>
          <w:sz w:val="24"/>
          <w:szCs w:val="24"/>
          <w:highlight w:val="none"/>
          <w:lang w:val="en-US" w:eastAsia="zh-CN"/>
        </w:rPr>
        <w:t xml:space="preserve"> </w:t>
      </w:r>
      <w:r>
        <w:rPr>
          <w:rFonts w:hint="eastAsia" w:asciiTheme="minorEastAsia" w:hAnsiTheme="minorEastAsia" w:eastAsiaTheme="minorEastAsia" w:cstheme="minorEastAsia"/>
          <w:b/>
          <w:bCs/>
          <w:sz w:val="24"/>
          <w:szCs w:val="24"/>
          <w:highlight w:val="none"/>
        </w:rPr>
        <w:t>交货时间与地点</w:t>
      </w:r>
    </w:p>
    <w:p w14:paraId="7BB76B1C">
      <w:pPr>
        <w:pStyle w:val="6"/>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乙方在合同签订生效之日起，按甲方指定时间、地点交货。</w:t>
      </w:r>
    </w:p>
    <w:p w14:paraId="5C4F020C">
      <w:pPr>
        <w:pStyle w:val="6"/>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1、交货安装期：</w:t>
      </w:r>
      <w:r>
        <w:rPr>
          <w:rFonts w:hint="eastAsia" w:asciiTheme="minorEastAsia" w:hAnsiTheme="minorEastAsia" w:eastAsiaTheme="minorEastAsia" w:cstheme="minorEastAsia"/>
          <w:color w:val="auto"/>
          <w:kern w:val="0"/>
          <w:sz w:val="24"/>
          <w:szCs w:val="24"/>
          <w:highlight w:val="none"/>
        </w:rPr>
        <w:t>合同签订生效之日起</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rPr>
        <w:t>个日历日供货安装调试</w:t>
      </w:r>
      <w:r>
        <w:rPr>
          <w:rFonts w:hint="eastAsia" w:asciiTheme="minorEastAsia" w:hAnsiTheme="minorEastAsia" w:eastAsiaTheme="minorEastAsia" w:cstheme="minorEastAsia"/>
          <w:color w:val="auto"/>
          <w:kern w:val="0"/>
          <w:sz w:val="24"/>
          <w:szCs w:val="24"/>
          <w:highlight w:val="none"/>
          <w:lang w:val="en-US" w:eastAsia="zh-CN"/>
        </w:rPr>
        <w:t>完毕，验收合格，投入使用</w:t>
      </w:r>
      <w:r>
        <w:rPr>
          <w:rFonts w:hint="eastAsia" w:asciiTheme="minorEastAsia" w:hAnsiTheme="minorEastAsia" w:eastAsiaTheme="minorEastAsia" w:cstheme="minorEastAsia"/>
          <w:color w:val="auto"/>
          <w:kern w:val="0"/>
          <w:sz w:val="24"/>
          <w:szCs w:val="24"/>
          <w:highlight w:val="none"/>
        </w:rPr>
        <w:t>。</w:t>
      </w:r>
    </w:p>
    <w:p w14:paraId="79F354E3">
      <w:pPr>
        <w:pStyle w:val="6"/>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2、交货地点：甲方指定地点</w:t>
      </w:r>
    </w:p>
    <w:p w14:paraId="7D974DAD">
      <w:pPr>
        <w:pStyle w:val="11"/>
        <w:pageBreakBefore w:val="0"/>
        <w:kinsoku/>
        <w:wordWrap/>
        <w:overflowPunct/>
        <w:topLinePunct w:val="0"/>
        <w:autoSpaceDE/>
        <w:autoSpaceDN/>
        <w:bidi w:val="0"/>
        <w:adjustRightInd/>
        <w:spacing w:line="360" w:lineRule="auto"/>
        <w:ind w:firstLine="0" w:firstLineChars="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sz w:val="24"/>
          <w:szCs w:val="24"/>
          <w:highlight w:val="none"/>
        </w:rPr>
        <w:t xml:space="preserve">第六条 包装要求与运输方式  </w:t>
      </w:r>
    </w:p>
    <w:p w14:paraId="61135A8C">
      <w:pPr>
        <w:pStyle w:val="11"/>
        <w:pageBreakBefore w:val="0"/>
        <w:kinsoku/>
        <w:wordWrap/>
        <w:overflowPunct/>
        <w:topLinePunct w:val="0"/>
        <w:autoSpaceDE/>
        <w:autoSpaceDN/>
        <w:bidi w:val="0"/>
        <w:adjustRightInd/>
        <w:spacing w:line="360" w:lineRule="auto"/>
        <w:ind w:left="161" w:leftChars="67" w:firstLine="360" w:firstLineChars="15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1、除合同另有规定外，乙方提供的全部货物均应按标准保护措施进行包装，该包装应适应于远距离运输、防潮、防震、防锈和防野蛮装卸，以确保货物安全运抵指定地点。</w:t>
      </w:r>
    </w:p>
    <w:p w14:paraId="4D1718E6">
      <w:pPr>
        <w:pStyle w:val="11"/>
        <w:pageBreakBefore w:val="0"/>
        <w:kinsoku/>
        <w:wordWrap/>
        <w:overflowPunct/>
        <w:topLinePunct w:val="0"/>
        <w:autoSpaceDE/>
        <w:autoSpaceDN/>
        <w:bidi w:val="0"/>
        <w:adjustRightInd/>
        <w:spacing w:line="360" w:lineRule="auto"/>
        <w:ind w:left="161" w:leftChars="67" w:firstLine="360" w:firstLineChars="15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2、每一包装单元应附详细的装箱单和质量合格证。</w:t>
      </w:r>
    </w:p>
    <w:p w14:paraId="561B0BC1">
      <w:pPr>
        <w:pStyle w:val="11"/>
        <w:pageBreakBefore w:val="0"/>
        <w:kinsoku/>
        <w:wordWrap/>
        <w:overflowPunct/>
        <w:topLinePunct w:val="0"/>
        <w:autoSpaceDE/>
        <w:autoSpaceDN/>
        <w:bidi w:val="0"/>
        <w:adjustRightInd/>
        <w:spacing w:line="360" w:lineRule="auto"/>
        <w:ind w:left="161" w:leftChars="67" w:firstLine="360" w:firstLineChars="15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3、货物（产品）运输方式</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 xml:space="preserve"> 。</w:t>
      </w:r>
    </w:p>
    <w:p w14:paraId="70BDBD4D">
      <w:pPr>
        <w:pStyle w:val="11"/>
        <w:pageBreakBefore w:val="0"/>
        <w:kinsoku/>
        <w:wordWrap/>
        <w:overflowPunct/>
        <w:topLinePunct w:val="0"/>
        <w:autoSpaceDE/>
        <w:autoSpaceDN/>
        <w:bidi w:val="0"/>
        <w:adjustRightInd/>
        <w:spacing w:line="360" w:lineRule="auto"/>
        <w:ind w:left="161" w:leftChars="67" w:firstLine="360" w:firstLineChars="15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4、乙方负责货物（产品）运输，货物运输的合理损耗及计算方法。</w:t>
      </w:r>
    </w:p>
    <w:p w14:paraId="427FC52C">
      <w:pPr>
        <w:pStyle w:val="11"/>
        <w:pageBreakBefore w:val="0"/>
        <w:kinsoku/>
        <w:wordWrap/>
        <w:overflowPunct/>
        <w:topLinePunct w:val="0"/>
        <w:autoSpaceDE/>
        <w:autoSpaceDN/>
        <w:bidi w:val="0"/>
        <w:adjustRightInd/>
        <w:spacing w:before="156" w:beforeLines="50" w:after="156" w:afterLines="50" w:line="360" w:lineRule="auto"/>
        <w:ind w:firstLine="0" w:firstLineChars="0"/>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第七条 质量保证</w:t>
      </w:r>
    </w:p>
    <w:p w14:paraId="0E58810C">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 xml:space="preserve">1、乙方对其所提供软硬件设备、材料等负责备品配件的供应,长期提供维修服务，并提供技术咨询等服务。质保期内应无偿负贵的维修和替换等工作。超出质保期只收取维修所需原设备、材料成本费用。 </w:t>
      </w:r>
    </w:p>
    <w:p w14:paraId="18EAF0E9">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 xml:space="preserve">2、服务响应时限:7*24小时服务，提供售后服务电话(应具有:固定电话、移动电话传真)。 </w:t>
      </w:r>
    </w:p>
    <w:p w14:paraId="040DF59A">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 xml:space="preserve">3、派专人对学校提供售后服务，并每月定期对所提供的软硬件设备、材料等进行巡检，做好巡检记录。 </w:t>
      </w:r>
    </w:p>
    <w:p w14:paraId="5E3412B1">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 xml:space="preserve">4、维修工作时间不大于 24 小时，更换工作时间不大于 72 小时。 </w:t>
      </w:r>
    </w:p>
    <w:p w14:paraId="7E43C983">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 xml:space="preserve">5、乙方应无偿对学校指定人员在现场进行维护、使用说明的培训，使用甲方够完成现场日常操作，技术人员能完成系统维护工作，并制作维护使用手册。 </w:t>
      </w:r>
    </w:p>
    <w:p w14:paraId="4A44D0D4">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 xml:space="preserve">6、在保修期内更换系统中部件(包括软件和硬件)，其保修期应相应延长 </w:t>
      </w:r>
    </w:p>
    <w:p w14:paraId="66B5A58B">
      <w:pPr>
        <w:pStyle w:val="11"/>
        <w:pageBreakBefore w:val="0"/>
        <w:kinsoku/>
        <w:wordWrap/>
        <w:overflowPunct/>
        <w:topLinePunct w:val="0"/>
        <w:autoSpaceDE/>
        <w:autoSpaceDN/>
        <w:bidi w:val="0"/>
        <w:adjustRightInd/>
        <w:spacing w:line="360" w:lineRule="auto"/>
        <w:ind w:firstLine="480"/>
        <w:outlineLvl w:val="9"/>
        <w:rPr>
          <w:rFonts w:hint="default"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7、质保期:1年。</w:t>
      </w:r>
    </w:p>
    <w:p w14:paraId="1D406E13">
      <w:pPr>
        <w:pStyle w:val="11"/>
        <w:pageBreakBefore w:val="0"/>
        <w:kinsoku/>
        <w:wordWrap/>
        <w:overflowPunct/>
        <w:topLinePunct w:val="0"/>
        <w:autoSpaceDE/>
        <w:autoSpaceDN/>
        <w:bidi w:val="0"/>
        <w:adjustRightInd/>
        <w:spacing w:before="156" w:beforeLines="50" w:after="156" w:afterLines="50" w:line="360" w:lineRule="auto"/>
        <w:ind w:firstLine="0" w:firstLineChars="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sz w:val="24"/>
          <w:szCs w:val="24"/>
          <w:highlight w:val="none"/>
        </w:rPr>
        <w:t>第八条 货物验收</w:t>
      </w:r>
    </w:p>
    <w:p w14:paraId="2CB386E0">
      <w:pPr>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kern w:val="2"/>
          <w:sz w:val="24"/>
          <w:szCs w:val="24"/>
          <w:highlight w:val="none"/>
          <w:lang w:val="en-US" w:eastAsia="zh-CN" w:bidi="ar-SA"/>
        </w:rPr>
        <w:t>1、硬件设备到达甲方指定地点后，组织现场开箱请点验货。所到设备的型号和数量必须与合同一致，甲方和乙方共同签署到货验收单。未签收到货验收单的货物不得擅自开箱安装。</w:t>
      </w:r>
    </w:p>
    <w:p w14:paraId="52A1DA7A">
      <w:pPr>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kern w:val="2"/>
          <w:sz w:val="24"/>
          <w:szCs w:val="24"/>
          <w:highlight w:val="none"/>
          <w:lang w:val="en-US" w:eastAsia="zh-CN" w:bidi="ar-SA"/>
        </w:rPr>
        <w:t>2、乙方保证合同所有设备是全新的（包括零部件），其规格参数及配件不低于（符合）本项目磋商文件和响应文件的要求。</w:t>
      </w:r>
    </w:p>
    <w:p w14:paraId="350F208E">
      <w:pPr>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kern w:val="2"/>
          <w:sz w:val="24"/>
          <w:szCs w:val="24"/>
          <w:highlight w:val="none"/>
          <w:lang w:val="en-US" w:eastAsia="zh-CN" w:bidi="ar-SA"/>
        </w:rPr>
        <w:t>3、安装完成，乙方进行自测并形成自测报告（软硬件），出现的问题限期整改。自检最终通过后，乙方提出验收申请，甲方组织相关人员进行最终验收。</w:t>
      </w:r>
    </w:p>
    <w:p w14:paraId="4A0F15F9">
      <w:pPr>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kern w:val="2"/>
          <w:sz w:val="24"/>
          <w:szCs w:val="24"/>
          <w:highlight w:val="none"/>
          <w:lang w:val="en-US" w:eastAsia="zh-CN" w:bidi="ar-SA"/>
        </w:rPr>
      </w:pPr>
      <w:r>
        <w:rPr>
          <w:rFonts w:hint="eastAsia" w:asciiTheme="minorEastAsia" w:hAnsiTheme="minorEastAsia" w:eastAsiaTheme="minorEastAsia" w:cstheme="minorEastAsia"/>
          <w:kern w:val="2"/>
          <w:sz w:val="24"/>
          <w:szCs w:val="24"/>
          <w:highlight w:val="none"/>
          <w:lang w:val="en-US" w:eastAsia="zh-CN" w:bidi="ar-SA"/>
        </w:rPr>
        <w:t>4、设备采购从通过最终验收之日起进入保修期，提供原厂保修升级。</w:t>
      </w:r>
    </w:p>
    <w:p w14:paraId="19507092">
      <w:pPr>
        <w:pStyle w:val="11"/>
        <w:pageBreakBefore w:val="0"/>
        <w:kinsoku/>
        <w:wordWrap/>
        <w:overflowPunct/>
        <w:topLinePunct w:val="0"/>
        <w:autoSpaceDE/>
        <w:autoSpaceDN/>
        <w:bidi w:val="0"/>
        <w:adjustRightInd/>
        <w:spacing w:before="156" w:beforeLines="50" w:after="156" w:afterLines="50" w:line="360" w:lineRule="auto"/>
        <w:ind w:firstLine="0" w:firstLineChars="0"/>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第九条 售后服务</w:t>
      </w:r>
    </w:p>
    <w:p w14:paraId="0828BBE3">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w:t>
      </w:r>
      <w:r>
        <w:rPr>
          <w:rFonts w:hint="eastAsia" w:asciiTheme="minorEastAsia" w:hAnsiTheme="minorEastAsia" w:eastAsiaTheme="minorEastAsia" w:cstheme="minorEastAsia"/>
          <w:sz w:val="24"/>
          <w:szCs w:val="24"/>
          <w:highlight w:val="none"/>
          <w:lang w:val="en-US" w:eastAsia="zh-CN"/>
        </w:rPr>
        <w:t>乙方</w:t>
      </w:r>
      <w:r>
        <w:rPr>
          <w:rFonts w:hint="eastAsia" w:asciiTheme="minorEastAsia" w:hAnsiTheme="minorEastAsia" w:eastAsiaTheme="minorEastAsia" w:cstheme="minorEastAsia"/>
          <w:sz w:val="24"/>
          <w:szCs w:val="24"/>
          <w:highlight w:val="none"/>
        </w:rPr>
        <w:t xml:space="preserve">派专人对学校提供售后服务，并每月定期对所提供的软硬件设备、材料等进行巡检，做好巡检记录；                  </w:t>
      </w:r>
    </w:p>
    <w:p w14:paraId="60714809">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2、货物（产品）的现场安装、调试和启动监督；</w:t>
      </w:r>
    </w:p>
    <w:p w14:paraId="172A4E64">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就货物的安装、启动、运行及维护等对采购人的人员进行免费培训。主要培训内容为货物的基本结构、性能、主要部件的构造及处理，日常使用操作、保养与管理、常见故障的排除、紧急情况的处理等，如采购人未使用过同类型货物，成交供应商还需就货物的功能对采购人的人员进行相应的技术培训，培训地点主要在货物安装现场或由采购人安排，并制作维护使用手册。</w:t>
      </w:r>
    </w:p>
    <w:p w14:paraId="50BEF944">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4、质保期自采购人在货物质量验收单（终验）上签字之日起计算，质保费用计入总价；</w:t>
      </w:r>
    </w:p>
    <w:p w14:paraId="7DDC912F">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5、乙方对其所提供软硬件设备、材料等负责备品配件的供应，长期提供维修服务，并提供技术咨询等服务。质保期内应无偿负责的维修和替换等工作。超出质保期只收取维修所需原设备、材料成本费用。</w:t>
      </w:r>
    </w:p>
    <w:p w14:paraId="1D5054BD">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6、服务响应时限：7*24小时服务，提供售后服务电话（应具有：固定电话、移动电话、传真）；</w:t>
      </w:r>
    </w:p>
    <w:p w14:paraId="3790D062">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7、成交供应商在接到采购人通知后维修工作时间不大于24小时，更换工作时间不大于72小时。</w:t>
      </w:r>
    </w:p>
    <w:p w14:paraId="3EA86C75">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8、在质保期内更换系统中部件（包括软件和硬件），其保修期应相应延长。</w:t>
      </w:r>
    </w:p>
    <w:p w14:paraId="6A4DC134">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9、所有货物服务方式均为成交供应商上门服务，即由成交供应商派员到货物使用现场维修，由此产生的一切费用均由成交供应商承担；</w:t>
      </w:r>
    </w:p>
    <w:p w14:paraId="42603EF9">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10、质保期结束后的货物维修、维护由双方协商再定。</w:t>
      </w:r>
    </w:p>
    <w:p w14:paraId="59DCF4AF">
      <w:pPr>
        <w:pStyle w:val="11"/>
        <w:pageBreakBefore w:val="0"/>
        <w:kinsoku/>
        <w:wordWrap/>
        <w:overflowPunct/>
        <w:topLinePunct w:val="0"/>
        <w:autoSpaceDE/>
        <w:autoSpaceDN/>
        <w:bidi w:val="0"/>
        <w:adjustRightInd/>
        <w:spacing w:after="156" w:afterLines="50" w:line="360" w:lineRule="auto"/>
        <w:ind w:firstLine="0" w:firstLineChars="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sz w:val="24"/>
          <w:szCs w:val="24"/>
          <w:highlight w:val="none"/>
        </w:rPr>
        <w:t>第十条</w:t>
      </w:r>
      <w:r>
        <w:rPr>
          <w:rFonts w:hint="eastAsia" w:asciiTheme="minorEastAsia" w:hAnsiTheme="minorEastAsia" w:eastAsiaTheme="minorEastAsia" w:cstheme="minorEastAsia"/>
          <w:b/>
          <w:sz w:val="24"/>
          <w:szCs w:val="24"/>
          <w:highlight w:val="none"/>
          <w:lang w:val="en-US" w:eastAsia="zh-CN"/>
        </w:rPr>
        <w:t xml:space="preserve"> </w:t>
      </w:r>
      <w:r>
        <w:rPr>
          <w:rFonts w:hint="eastAsia" w:asciiTheme="minorEastAsia" w:hAnsiTheme="minorEastAsia" w:eastAsiaTheme="minorEastAsia" w:cstheme="minorEastAsia"/>
          <w:b/>
          <w:sz w:val="24"/>
          <w:szCs w:val="24"/>
          <w:highlight w:val="none"/>
        </w:rPr>
        <w:t>违约责任</w:t>
      </w:r>
    </w:p>
    <w:p w14:paraId="7053A9F8">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1、甲方违约责任</w:t>
      </w:r>
    </w:p>
    <w:p w14:paraId="0F30AD88">
      <w:pPr>
        <w:pStyle w:val="11"/>
        <w:pageBreakBefore w:val="0"/>
        <w:kinsoku/>
        <w:wordWrap/>
        <w:overflowPunct/>
        <w:topLinePunct w:val="0"/>
        <w:autoSpaceDE/>
        <w:autoSpaceDN/>
        <w:bidi w:val="0"/>
        <w:adjustRightInd/>
        <w:spacing w:line="360" w:lineRule="auto"/>
        <w:ind w:firstLine="290" w:firstLineChars="121"/>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（1）甲方无正当理由拒收货物的，甲方应偿付合同总价3 %的违约金；</w:t>
      </w:r>
    </w:p>
    <w:p w14:paraId="564B2E6B">
      <w:pPr>
        <w:pStyle w:val="11"/>
        <w:pageBreakBefore w:val="0"/>
        <w:kinsoku/>
        <w:wordWrap/>
        <w:overflowPunct/>
        <w:topLinePunct w:val="0"/>
        <w:autoSpaceDE/>
        <w:autoSpaceDN/>
        <w:bidi w:val="0"/>
        <w:adjustRightInd/>
        <w:spacing w:line="360" w:lineRule="auto"/>
        <w:ind w:firstLine="290" w:firstLineChars="121"/>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（2）甲方逾期支付货款的，除应及时付足货款外，应向乙方每天支付欠款总额1‰的滞纳金；但累计滞纳金总额不超过欠款总额的1%。</w:t>
      </w:r>
    </w:p>
    <w:p w14:paraId="6A500466">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2、乙方违约责任</w:t>
      </w:r>
    </w:p>
    <w:p w14:paraId="688CAEC9">
      <w:pPr>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（1）如乙方不能交付货物，乙方应向甲方支付合同总价5％的违约金；</w:t>
      </w:r>
    </w:p>
    <w:p w14:paraId="6B326A3F">
      <w:pPr>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（2）乙方逾期交付货物的，每逾期1天，乙方向甲方偿付逾期交货部分货款总额的3‰的滞纳金。如乙方逾期交货达15天，甲方有权解除合同，解除合同的通知自到达乙方时生效；</w:t>
      </w:r>
    </w:p>
    <w:p w14:paraId="479F9E7F">
      <w:pPr>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（3）乙方所交付的货物品种、型号、规格不符合合同规定的，甲方有权拒收。甲方拒收的，乙方应向甲方支付货款总额5%的违约金；</w:t>
      </w:r>
    </w:p>
    <w:p w14:paraId="5EBAFC91">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乙方货物经甲方送交具有法定资格条件的质量技术监督机构检测后，如检测结果认定货物质量不符合本合同规定标准的，则视为乙方没有按时交货而违约，乙方须在3天内无条件更换合格的货物，如逾期不能更换合格的货物，甲方有权终止本合同，乙方应另向甲方支付货款总额5%的违约金；</w:t>
      </w:r>
    </w:p>
    <w:p w14:paraId="7AC5292E">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在乙方承诺的或国家规定的质量保证期内（取两者中最长的期限），如经乙方两次维修或更换，货物仍不能达到合同约定的质量标准，甲方有权退货，乙方应退回全部货款，并按第3款处理，同时，乙方还须赔偿甲方因此遭受的损失；</w:t>
      </w:r>
    </w:p>
    <w:p w14:paraId="62C78538">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（6）乙方未按本合同约定履行自身应尽义务的，应向甲方承担违约责任，按合同总价款的5 %向甲方支付违约金；该违约金的支付不影响乙方应承担的其他违约责任；</w:t>
      </w:r>
    </w:p>
    <w:p w14:paraId="2068279E">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（7）乙方未按本合同的规定和“服务承诺”提供伴随服务/售后服务的，应按合同总价款的5%向甲方承担违约责任；</w:t>
      </w:r>
    </w:p>
    <w:p w14:paraId="5DFDD65C">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（8）乙方在承担上述1-7款一项或多项违约责任后，仍应继续履行合同规定的义务（甲方解除合同的除外）。甲方未能及时追究乙方的任何一项违约责任并不表明甲方放弃追究乙方该项或其他违约责任；</w:t>
      </w:r>
    </w:p>
    <w:p w14:paraId="518412D3">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（9）乙方偿付的违约金不足以弥补甲方损失的，还应按甲方损失尚未弥补的部分，支付赔偿金给甲方。</w:t>
      </w:r>
    </w:p>
    <w:p w14:paraId="5F46D5B3">
      <w:pPr>
        <w:pageBreakBefore w:val="0"/>
        <w:kinsoku/>
        <w:wordWrap/>
        <w:overflowPunct/>
        <w:topLinePunct w:val="0"/>
        <w:autoSpaceDE/>
        <w:autoSpaceDN/>
        <w:bidi w:val="0"/>
        <w:adjustRightInd/>
        <w:spacing w:before="156" w:beforeLines="50" w:after="156" w:afterLines="50" w:line="360" w:lineRule="auto"/>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sz w:val="24"/>
          <w:szCs w:val="24"/>
          <w:highlight w:val="none"/>
        </w:rPr>
        <w:t>第十一条 合同的变更和终止</w:t>
      </w:r>
    </w:p>
    <w:p w14:paraId="308B8F09">
      <w:pPr>
        <w:pageBreakBefore w:val="0"/>
        <w:kinsoku/>
        <w:wordWrap/>
        <w:overflowPunct/>
        <w:topLinePunct w:val="0"/>
        <w:autoSpaceDE/>
        <w:autoSpaceDN/>
        <w:bidi w:val="0"/>
        <w:adjustRightInd/>
        <w:spacing w:line="360" w:lineRule="auto"/>
        <w:ind w:firstLine="480" w:firstLineChars="200"/>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sz w:val="24"/>
          <w:szCs w:val="24"/>
          <w:highlight w:val="none"/>
        </w:rPr>
        <w:t>除《中华人民共和国政府采购法》第49条、第50条第二款规定的情形外，本合同一经签订，甲乙双方不得擅自变更、中止或终止合同。</w:t>
      </w:r>
    </w:p>
    <w:p w14:paraId="37A375F2">
      <w:pPr>
        <w:pageBreakBefore w:val="0"/>
        <w:kinsoku/>
        <w:wordWrap/>
        <w:overflowPunct/>
        <w:topLinePunct w:val="0"/>
        <w:autoSpaceDE/>
        <w:autoSpaceDN/>
        <w:bidi w:val="0"/>
        <w:adjustRightInd/>
        <w:spacing w:before="156" w:beforeLines="50" w:after="156" w:afterLines="50" w:line="360" w:lineRule="auto"/>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第十二条 争议的解决</w:t>
      </w:r>
    </w:p>
    <w:p w14:paraId="3C9389DD">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1、因货物的质量问题发生争议，由质量技术监督部门或其指定的质量鉴定机构进行质量鉴定。货物符合标准的，鉴定费由甲方承担；货物不符合质量标准的，鉴定费由乙方承担。</w:t>
      </w:r>
    </w:p>
    <w:p w14:paraId="42E4154F">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2、因履行本合同引</w:t>
      </w:r>
      <w:r>
        <w:rPr>
          <w:rFonts w:hint="eastAsia" w:asciiTheme="minorEastAsia" w:hAnsiTheme="minorEastAsia" w:eastAsiaTheme="minorEastAsia" w:cstheme="minorEastAsia"/>
          <w:color w:val="auto"/>
          <w:sz w:val="24"/>
          <w:szCs w:val="24"/>
          <w:highlight w:val="none"/>
        </w:rPr>
        <w:t>起的或与本合同有关的争议，甲、乙双方应首先通过友好协商解决，如果协商不成，则采取以下第</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2</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rPr>
        <w:t>种方</w:t>
      </w:r>
      <w:r>
        <w:rPr>
          <w:rFonts w:hint="eastAsia" w:asciiTheme="minorEastAsia" w:hAnsiTheme="minorEastAsia" w:eastAsiaTheme="minorEastAsia" w:cstheme="minorEastAsia"/>
          <w:sz w:val="24"/>
          <w:szCs w:val="24"/>
          <w:highlight w:val="none"/>
        </w:rPr>
        <w:t>式解决争议：</w:t>
      </w:r>
    </w:p>
    <w:p w14:paraId="20D9174E">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（1）向甲方所在地有管辖权的人民法院提起诉讼；</w:t>
      </w:r>
    </w:p>
    <w:p w14:paraId="63DF1F41">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（2）向</w:t>
      </w:r>
      <w:r>
        <w:rPr>
          <w:rFonts w:hint="eastAsia" w:asciiTheme="minorEastAsia" w:hAnsiTheme="minorEastAsia" w:eastAsiaTheme="minorEastAsia" w:cstheme="minorEastAsia"/>
          <w:sz w:val="24"/>
          <w:szCs w:val="24"/>
          <w:highlight w:val="none"/>
          <w:u w:val="single"/>
        </w:rPr>
        <w:t>西安</w:t>
      </w:r>
      <w:r>
        <w:rPr>
          <w:rFonts w:hint="eastAsia" w:asciiTheme="minorEastAsia" w:hAnsiTheme="minorEastAsia" w:eastAsiaTheme="minorEastAsia" w:cstheme="minorEastAsia"/>
          <w:sz w:val="24"/>
          <w:szCs w:val="24"/>
          <w:highlight w:val="none"/>
          <w:u w:val="single"/>
          <w:lang w:eastAsia="zh-CN"/>
        </w:rPr>
        <w:t>市</w:t>
      </w:r>
      <w:r>
        <w:rPr>
          <w:rFonts w:hint="eastAsia" w:asciiTheme="minorEastAsia" w:hAnsiTheme="minorEastAsia" w:eastAsiaTheme="minorEastAsia" w:cstheme="minorEastAsia"/>
          <w:sz w:val="24"/>
          <w:szCs w:val="24"/>
          <w:highlight w:val="none"/>
        </w:rPr>
        <w:t>仲裁委员会按其仲裁规则申请仲裁。</w:t>
      </w:r>
    </w:p>
    <w:p w14:paraId="14351A66">
      <w:pPr>
        <w:pStyle w:val="11"/>
        <w:pageBreakBefore w:val="0"/>
        <w:kinsoku/>
        <w:wordWrap/>
        <w:overflowPunct/>
        <w:topLinePunct w:val="0"/>
        <w:autoSpaceDE/>
        <w:autoSpaceDN/>
        <w:bidi w:val="0"/>
        <w:adjustRightInd/>
        <w:spacing w:line="360" w:lineRule="auto"/>
        <w:ind w:firstLine="48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auto"/>
          <w:sz w:val="24"/>
          <w:szCs w:val="24"/>
          <w:highlight w:val="none"/>
        </w:rPr>
        <w:t>3．在仲</w:t>
      </w:r>
      <w:r>
        <w:rPr>
          <w:rFonts w:hint="eastAsia" w:asciiTheme="minorEastAsia" w:hAnsiTheme="minorEastAsia" w:eastAsiaTheme="minorEastAsia" w:cstheme="minorEastAsia"/>
          <w:sz w:val="24"/>
          <w:szCs w:val="24"/>
          <w:highlight w:val="none"/>
        </w:rPr>
        <w:t>裁期间，本合同应继续履行。</w:t>
      </w:r>
    </w:p>
    <w:p w14:paraId="0B9F7C2D">
      <w:pPr>
        <w:pageBreakBefore w:val="0"/>
        <w:kinsoku/>
        <w:wordWrap/>
        <w:overflowPunct/>
        <w:topLinePunct w:val="0"/>
        <w:autoSpaceDE/>
        <w:autoSpaceDN/>
        <w:bidi w:val="0"/>
        <w:adjustRightInd/>
        <w:snapToGrid w:val="0"/>
        <w:spacing w:before="156" w:beforeLines="50" w:after="156" w:afterLines="50" w:line="360" w:lineRule="auto"/>
        <w:textAlignment w:val="baseline"/>
        <w:outlineLvl w:val="9"/>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第十三条 合同生效及其他</w:t>
      </w:r>
    </w:p>
    <w:p w14:paraId="50E7AFE9">
      <w:pPr>
        <w:pageBreakBefore w:val="0"/>
        <w:kinsoku/>
        <w:wordWrap/>
        <w:overflowPunct/>
        <w:topLinePunct w:val="0"/>
        <w:autoSpaceDE/>
        <w:autoSpaceDN/>
        <w:bidi w:val="0"/>
        <w:adjustRightInd/>
        <w:snapToGrid w:val="0"/>
        <w:spacing w:line="360" w:lineRule="auto"/>
        <w:ind w:firstLine="539"/>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1、如有未尽事宜，由双方依法订立补充合同。</w:t>
      </w:r>
    </w:p>
    <w:p w14:paraId="3F6A5BD3">
      <w:pPr>
        <w:pageBreakBefore w:val="0"/>
        <w:kinsoku/>
        <w:wordWrap/>
        <w:overflowPunct/>
        <w:topLinePunct w:val="0"/>
        <w:autoSpaceDE/>
        <w:autoSpaceDN/>
        <w:bidi w:val="0"/>
        <w:adjustRightInd/>
        <w:snapToGrid w:val="0"/>
        <w:spacing w:line="360" w:lineRule="auto"/>
        <w:ind w:firstLine="539"/>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2、本合同自签订之日起生效。</w:t>
      </w:r>
    </w:p>
    <w:p w14:paraId="4E095D9D">
      <w:pPr>
        <w:pageBreakBefore w:val="0"/>
        <w:kinsoku/>
        <w:wordWrap/>
        <w:overflowPunct/>
        <w:topLinePunct w:val="0"/>
        <w:autoSpaceDE/>
        <w:autoSpaceDN/>
        <w:bidi w:val="0"/>
        <w:adjustRightInd/>
        <w:snapToGrid w:val="0"/>
        <w:spacing w:line="360" w:lineRule="auto"/>
        <w:ind w:firstLine="539"/>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3、本合同一式</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rPr>
        <w:t>份，具有同等法律效力，甲乙双方各执</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rPr>
        <w:t>份，一份报送政府采购监督管理部门备案。</w:t>
      </w:r>
    </w:p>
    <w:p w14:paraId="53C80841">
      <w:pPr>
        <w:pageBreakBefore w:val="0"/>
        <w:kinsoku/>
        <w:wordWrap/>
        <w:overflowPunct/>
        <w:topLinePunct w:val="0"/>
        <w:autoSpaceDE/>
        <w:autoSpaceDN/>
        <w:bidi w:val="0"/>
        <w:adjustRightInd/>
        <w:spacing w:before="156" w:beforeLines="50" w:after="156"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 xml:space="preserve">甲方：   （盖章）              </w:t>
      </w:r>
      <w:r>
        <w:rPr>
          <w:rFonts w:hint="eastAsia" w:asciiTheme="minorEastAsia" w:hAnsiTheme="minorEastAsia" w:eastAsiaTheme="minorEastAsia" w:cstheme="minorEastAsia"/>
          <w:sz w:val="24"/>
          <w:szCs w:val="24"/>
          <w:highlight w:val="none"/>
        </w:rPr>
        <w:tab/>
      </w:r>
      <w:r>
        <w:rPr>
          <w:rFonts w:hint="eastAsia" w:asciiTheme="minorEastAsia" w:hAnsiTheme="minorEastAsia" w:eastAsiaTheme="minorEastAsia" w:cstheme="minorEastAsia"/>
          <w:sz w:val="24"/>
          <w:szCs w:val="24"/>
          <w:highlight w:val="none"/>
        </w:rPr>
        <w:t xml:space="preserve"> 乙方：   （盖章）</w:t>
      </w:r>
    </w:p>
    <w:p w14:paraId="59328F08">
      <w:pPr>
        <w:pageBreakBefore w:val="0"/>
        <w:kinsoku/>
        <w:wordWrap/>
        <w:overflowPunct/>
        <w:topLinePunct w:val="0"/>
        <w:autoSpaceDE/>
        <w:autoSpaceDN/>
        <w:bidi w:val="0"/>
        <w:adjustRightInd/>
        <w:spacing w:before="156" w:beforeLines="50" w:after="156"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法定代表人/授权代表：               法定代表人/授权代表：</w:t>
      </w:r>
    </w:p>
    <w:p w14:paraId="2F4B2E99">
      <w:pPr>
        <w:pageBreakBefore w:val="0"/>
        <w:kinsoku/>
        <w:wordWrap/>
        <w:overflowPunct/>
        <w:topLinePunct w:val="0"/>
        <w:autoSpaceDE/>
        <w:autoSpaceDN/>
        <w:bidi w:val="0"/>
        <w:adjustRightInd/>
        <w:spacing w:before="156" w:beforeLines="50" w:after="156"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地    址：                          地    址：</w:t>
      </w:r>
    </w:p>
    <w:p w14:paraId="3EA9545B">
      <w:pPr>
        <w:pageBreakBefore w:val="0"/>
        <w:kinsoku/>
        <w:wordWrap/>
        <w:overflowPunct/>
        <w:topLinePunct w:val="0"/>
        <w:autoSpaceDE/>
        <w:autoSpaceDN/>
        <w:bidi w:val="0"/>
        <w:adjustRightInd/>
        <w:spacing w:before="156" w:beforeLines="50" w:after="156"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开户银行：                          开户银行：</w:t>
      </w:r>
    </w:p>
    <w:p w14:paraId="5D9D48B8">
      <w:pPr>
        <w:pageBreakBefore w:val="0"/>
        <w:kinsoku/>
        <w:wordWrap/>
        <w:overflowPunct/>
        <w:topLinePunct w:val="0"/>
        <w:autoSpaceDE/>
        <w:autoSpaceDN/>
        <w:bidi w:val="0"/>
        <w:adjustRightInd/>
        <w:spacing w:before="156" w:beforeLines="50" w:after="156"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账    号：                          账    号：</w:t>
      </w:r>
    </w:p>
    <w:p w14:paraId="3F60DF1D">
      <w:pPr>
        <w:pageBreakBefore w:val="0"/>
        <w:kinsoku/>
        <w:wordWrap/>
        <w:overflowPunct/>
        <w:topLinePunct w:val="0"/>
        <w:autoSpaceDE/>
        <w:autoSpaceDN/>
        <w:bidi w:val="0"/>
        <w:adjustRightInd/>
        <w:spacing w:before="156" w:beforeLines="50" w:after="156"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电    话：                          电    话：</w:t>
      </w:r>
    </w:p>
    <w:p w14:paraId="7F3C4E06">
      <w:pPr>
        <w:pageBreakBefore w:val="0"/>
        <w:kinsoku/>
        <w:wordWrap/>
        <w:overflowPunct/>
        <w:topLinePunct w:val="0"/>
        <w:autoSpaceDE/>
        <w:autoSpaceDN/>
        <w:bidi w:val="0"/>
        <w:adjustRightInd/>
        <w:spacing w:before="156" w:beforeLines="50" w:after="156" w:afterLines="50" w:line="360" w:lineRule="auto"/>
        <w:ind w:firstLine="480" w:firstLineChars="200"/>
        <w:outlineLvl w:val="9"/>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传    真：                          传    真：</w:t>
      </w:r>
    </w:p>
    <w:p w14:paraId="4724193B">
      <w:pPr>
        <w:pStyle w:val="6"/>
        <w:keepNext w:val="0"/>
        <w:keepLines w:val="0"/>
        <w:pageBreakBefore w:val="0"/>
        <w:widowControl w:val="0"/>
        <w:kinsoku/>
        <w:wordWrap/>
        <w:overflowPunct/>
        <w:topLinePunct w:val="0"/>
        <w:bidi w:val="0"/>
        <w:snapToGrid/>
        <w:spacing w:after="0" w:afterLines="0" w:line="360" w:lineRule="auto"/>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highlight w:val="none"/>
        </w:rPr>
        <w:t>签约日期：    年  月  日            签约日期：    年  月  日</w:t>
      </w:r>
    </w:p>
    <w:sectPr>
      <w:pgSz w:w="11906" w:h="16838"/>
      <w:pgMar w:top="1417" w:right="1418" w:bottom="1417" w:left="1417" w:header="851" w:footer="85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decorative"/>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UzY2YwMjY1ZThmNzM5OTdiOGFkNTEwNWM4YzQyNjAifQ=="/>
  </w:docVars>
  <w:rsids>
    <w:rsidRoot w:val="76CB03C9"/>
    <w:rsid w:val="00A4409C"/>
    <w:rsid w:val="010A478A"/>
    <w:rsid w:val="02DF39F5"/>
    <w:rsid w:val="076F3599"/>
    <w:rsid w:val="07A019A5"/>
    <w:rsid w:val="0AFD710E"/>
    <w:rsid w:val="0BDA7DDB"/>
    <w:rsid w:val="0BDE0CED"/>
    <w:rsid w:val="0D554FDF"/>
    <w:rsid w:val="10BC5375"/>
    <w:rsid w:val="125A1663"/>
    <w:rsid w:val="165A3666"/>
    <w:rsid w:val="1A423B81"/>
    <w:rsid w:val="1B79633D"/>
    <w:rsid w:val="1C7A05BE"/>
    <w:rsid w:val="1D434E54"/>
    <w:rsid w:val="1F262338"/>
    <w:rsid w:val="20711CD8"/>
    <w:rsid w:val="247B4ED4"/>
    <w:rsid w:val="24FB6014"/>
    <w:rsid w:val="2A30050E"/>
    <w:rsid w:val="2B3C63BA"/>
    <w:rsid w:val="2BD01C52"/>
    <w:rsid w:val="300C557A"/>
    <w:rsid w:val="30F304E8"/>
    <w:rsid w:val="33C65A3F"/>
    <w:rsid w:val="35800FB6"/>
    <w:rsid w:val="397B107A"/>
    <w:rsid w:val="3A856D10"/>
    <w:rsid w:val="3F286E52"/>
    <w:rsid w:val="3F4D5267"/>
    <w:rsid w:val="47F6293F"/>
    <w:rsid w:val="4C665924"/>
    <w:rsid w:val="4DC61A36"/>
    <w:rsid w:val="529C2335"/>
    <w:rsid w:val="5CB62246"/>
    <w:rsid w:val="5ED54C05"/>
    <w:rsid w:val="60FC3502"/>
    <w:rsid w:val="611D43D0"/>
    <w:rsid w:val="64C51278"/>
    <w:rsid w:val="65B31A18"/>
    <w:rsid w:val="66CD6B09"/>
    <w:rsid w:val="6E8963C6"/>
    <w:rsid w:val="7288374E"/>
    <w:rsid w:val="746B42E5"/>
    <w:rsid w:val="76CB03C9"/>
    <w:rsid w:val="78000AED"/>
    <w:rsid w:val="7D6E02A7"/>
    <w:rsid w:val="7E3149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3">
    <w:name w:val="heading 2"/>
    <w:basedOn w:val="1"/>
    <w:next w:val="1"/>
    <w:qFormat/>
    <w:uiPriority w:val="9"/>
    <w:pPr>
      <w:keepNext/>
      <w:keepLines/>
      <w:widowControl/>
      <w:spacing w:before="20" w:beforeLines="0" w:after="20" w:afterLines="0" w:line="360" w:lineRule="auto"/>
      <w:ind w:left="284"/>
      <w:jc w:val="left"/>
      <w:outlineLvl w:val="1"/>
    </w:pPr>
    <w:rPr>
      <w:rFonts w:ascii="Arial" w:hAnsi="Arial" w:eastAsia="仿宋"/>
      <w:b/>
      <w:bCs/>
      <w:sz w:val="28"/>
      <w:szCs w:val="32"/>
    </w:rPr>
  </w:style>
  <w:style w:type="paragraph" w:styleId="4">
    <w:name w:val="heading 3"/>
    <w:basedOn w:val="1"/>
    <w:next w:val="1"/>
    <w:link w:val="9"/>
    <w:semiHidden/>
    <w:unhideWhenUsed/>
    <w:qFormat/>
    <w:uiPriority w:val="0"/>
    <w:pPr>
      <w:keepNext/>
      <w:spacing w:before="200" w:beforeLines="200" w:line="360" w:lineRule="auto"/>
      <w:jc w:val="center"/>
      <w:outlineLvl w:val="2"/>
    </w:pPr>
    <w:rPr>
      <w:rFonts w:ascii="Times New Roman" w:hAnsi="Times New Roman" w:eastAsia="仿宋"/>
      <w:b/>
      <w:bCs/>
      <w:kern w:val="2"/>
      <w:sz w:val="24"/>
      <w:szCs w:val="2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widowControl w:val="0"/>
      <w:tabs>
        <w:tab w:val="center" w:pos="4140"/>
        <w:tab w:val="right" w:pos="8300"/>
      </w:tabs>
      <w:snapToGrid w:val="0"/>
      <w:spacing w:after="0"/>
      <w:jc w:val="left"/>
    </w:pPr>
    <w:rPr>
      <w:rFonts w:ascii="Times New Roman" w:hAnsi="Times New Roman" w:eastAsia="宋体"/>
      <w:kern w:val="2"/>
      <w:sz w:val="18"/>
      <w:szCs w:val="18"/>
      <w:lang w:val="en-US" w:eastAsia="zh-CN" w:bidi="ar-SA"/>
    </w:rPr>
  </w:style>
  <w:style w:type="paragraph" w:styleId="5">
    <w:name w:val="Normal Indent"/>
    <w:basedOn w:val="1"/>
    <w:qFormat/>
    <w:uiPriority w:val="0"/>
    <w:pPr>
      <w:spacing w:line="300" w:lineRule="auto"/>
      <w:ind w:firstLine="420" w:firstLineChars="200"/>
    </w:pPr>
    <w:rPr>
      <w:rFonts w:ascii="Times New Roman"/>
      <w:kern w:val="2"/>
      <w:sz w:val="21"/>
      <w:szCs w:val="24"/>
    </w:rPr>
  </w:style>
  <w:style w:type="paragraph" w:styleId="6">
    <w:name w:val="Body Text"/>
    <w:basedOn w:val="1"/>
    <w:next w:val="1"/>
    <w:qFormat/>
    <w:uiPriority w:val="0"/>
    <w:pPr>
      <w:spacing w:after="120" w:afterLines="0"/>
    </w:pPr>
    <w:rPr>
      <w:rFonts w:ascii="Times New Roman"/>
      <w:kern w:val="2"/>
      <w:sz w:val="21"/>
    </w:rPr>
  </w:style>
  <w:style w:type="character" w:customStyle="1" w:styleId="9">
    <w:name w:val="标题 3 Char"/>
    <w:link w:val="4"/>
    <w:qFormat/>
    <w:uiPriority w:val="0"/>
    <w:rPr>
      <w:rFonts w:ascii="Times New Roman" w:hAnsi="Times New Roman" w:eastAsia="仿宋"/>
      <w:b/>
      <w:bCs/>
      <w:kern w:val="2"/>
      <w:sz w:val="24"/>
      <w:szCs w:val="24"/>
    </w:rPr>
  </w:style>
  <w:style w:type="table" w:customStyle="1" w:styleId="10">
    <w:name w:val="Table Normal"/>
    <w:semiHidden/>
    <w:unhideWhenUsed/>
    <w:qFormat/>
    <w:uiPriority w:val="0"/>
    <w:tblPr>
      <w:tblCellMar>
        <w:top w:w="0" w:type="dxa"/>
        <w:left w:w="0" w:type="dxa"/>
        <w:bottom w:w="0" w:type="dxa"/>
        <w:right w:w="0" w:type="dxa"/>
      </w:tblCellMar>
    </w:tblPr>
  </w:style>
  <w:style w:type="paragraph" w:customStyle="1" w:styleId="11">
    <w:name w:val="样式 首行缩进:  2 字符"/>
    <w:basedOn w:val="1"/>
    <w:qFormat/>
    <w:uiPriority w:val="0"/>
    <w:pPr>
      <w:spacing w:line="400" w:lineRule="exact"/>
      <w:ind w:firstLine="200" w:firstLineChars="200"/>
    </w:pPr>
    <w:rPr>
      <w:rFonts w:cs="宋体"/>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3303</Words>
  <Characters>3327</Characters>
  <Lines>0</Lines>
  <Paragraphs>0</Paragraphs>
  <TotalTime>0</TotalTime>
  <ScaleCrop>false</ScaleCrop>
  <LinksUpToDate>false</LinksUpToDate>
  <CharactersWithSpaces>3683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2023-08-09T09:59:00Z</dcterms:created>
  <dc:creator>？</dc:creator>
  <cp:lastModifiedBy>QQQQ</cp:lastModifiedBy>
  <dcterms:modified xsi:type="dcterms:W3CDTF">2025-08-19T08:52:39Z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3006C60F7B3E4FC185664B3083845DA4_11</vt:lpwstr>
  </property>
  <property fmtid="{D5CDD505-2E9C-101B-9397-08002B2CF9AE}" pid="4" name="KSOTemplateDocerSaveRecord">
    <vt:lpwstr>eyJoZGlkIjoiOTcyZTNiZTIzMTFiYjc4MmExNzQ3MzFlOTI4NmYyYmEiLCJ1c2VySWQiOiIzODkzMjE1NzcifQ==</vt:lpwstr>
  </property>
</Properties>
</file>