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版本号：LZBE2025-1485（XDZ2025-237-N-151）20250820001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2025-2026年业务下沉及远程辅导帮办人员服务外包项目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LZBE2025-1485（XDZ2025-237-N-151）</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2025-2026年业务下沉及远程辅导帮办人员服务外包项目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LZBE2025-1485（XDZ2025-237-N-151）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2025-2026年业务下沉及远程辅导帮办人员服务外包项目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2025-2026年业务下沉及远程辅导帮办人员服务外包项目1项，详见采购文件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采购包1（2025-2026年业务下沉及远程辅导帮办人员服务外包项目）：属于专门面向中小企业采购。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报告：财务状况报告：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或提供《基本资格条件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029-88228899转652、650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按差额定率累进法计算，具体收费标准参照计价格[2002]1980号、发改价格[2011]534号、发改办价格〔2003〕857号中服务类执行。中标人在取得中标通知书前，向采购代理机构交纳招标代理服务费。招标代理服务费以转账形式交纳至如下指定账户： 开户名称：龙寰项目管理咨询有限公司 开户行名称：平安银行西安高新路支行 账号：30201278017387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联系电话：029-88228899转652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2025-2026年业务下沉及远程辅导帮办人员服务外包项目1项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2,160,000.00</w:t>
      </w:r>
    </w:p>
    <w:p>
      <w:pPr>
        <w:pStyle w:val="null3"/>
      </w:pPr>
      <w:r>
        <w:rPr>
          <w:rFonts w:ascii="仿宋_GB2312" w:hAnsi="仿宋_GB2312" w:cs="仿宋_GB2312" w:eastAsia="仿宋_GB2312"/>
        </w:rPr>
        <w:t>采购包最高限价（元）: 2,160,000.00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2025-2026年业务下沉及远程辅导帮办人员服务外包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标的名称：2025-2026年业务下沉及远程辅导帮办人员服务外包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0"/>
              </w:rPr>
              <w:t>项目名称：</w:t>
            </w:r>
            <w:r>
              <w:rPr>
                <w:rFonts w:ascii="仿宋_GB2312" w:hAnsi="仿宋_GB2312" w:cs="仿宋_GB2312" w:eastAsia="仿宋_GB2312"/>
                <w:sz w:val="20"/>
              </w:rPr>
              <w:t>2025-2026</w:t>
            </w:r>
            <w:r>
              <w:rPr>
                <w:rFonts w:ascii="仿宋_GB2312" w:hAnsi="仿宋_GB2312" w:cs="仿宋_GB2312" w:eastAsia="仿宋_GB2312"/>
                <w:sz w:val="20"/>
              </w:rPr>
              <w:t>年业务下沉及远程辅导帮办人员服务外包项目。</w:t>
            </w:r>
          </w:p>
          <w:p>
            <w:pPr>
              <w:pStyle w:val="null3"/>
              <w:numPr>
                <w:ilvl w:val="0"/>
                <w:numId w:val="1"/>
              </w:numPr>
              <w:jc w:val="both"/>
            </w:pPr>
            <w:r>
              <w:rPr>
                <w:rFonts w:ascii="仿宋_GB2312" w:hAnsi="仿宋_GB2312" w:cs="仿宋_GB2312" w:eastAsia="仿宋_GB2312"/>
                <w:sz w:val="20"/>
              </w:rPr>
              <w:t>采购内容：根据社保、医保、人事代理等相关业务下沉工作推进情况，拟计划在对政务服务大厅社保</w:t>
            </w:r>
            <w:r>
              <w:rPr>
                <w:rFonts w:ascii="仿宋_GB2312" w:hAnsi="仿宋_GB2312" w:cs="仿宋_GB2312" w:eastAsia="仿宋_GB2312"/>
                <w:sz w:val="20"/>
              </w:rPr>
              <w:t>、</w:t>
            </w:r>
            <w:r>
              <w:rPr>
                <w:rFonts w:ascii="仿宋_GB2312" w:hAnsi="仿宋_GB2312" w:cs="仿宋_GB2312" w:eastAsia="仿宋_GB2312"/>
                <w:sz w:val="20"/>
              </w:rPr>
              <w:t>医保窗口</w:t>
            </w:r>
            <w:r>
              <w:rPr>
                <w:rFonts w:ascii="仿宋_GB2312" w:hAnsi="仿宋_GB2312" w:cs="仿宋_GB2312" w:eastAsia="仿宋_GB2312"/>
                <w:sz w:val="20"/>
              </w:rPr>
              <w:t>、政务服务站、政务服务分中心下沉业务服务窗口进行日常远程业务辅导和继续派驻部分社保、医保、人事代理业务下沉经办人员的同时</w:t>
            </w:r>
            <w:r>
              <w:rPr>
                <w:rFonts w:ascii="仿宋_GB2312" w:hAnsi="仿宋_GB2312" w:cs="仿宋_GB2312" w:eastAsia="仿宋_GB2312"/>
                <w:sz w:val="20"/>
              </w:rPr>
              <w:t>，持续将</w:t>
            </w:r>
            <w:r>
              <w:rPr>
                <w:rFonts w:ascii="仿宋_GB2312" w:hAnsi="仿宋_GB2312" w:cs="仿宋_GB2312" w:eastAsia="仿宋_GB2312"/>
                <w:sz w:val="20"/>
              </w:rPr>
              <w:t>91</w:t>
            </w:r>
            <w:r>
              <w:rPr>
                <w:rFonts w:ascii="仿宋_GB2312" w:hAnsi="仿宋_GB2312" w:cs="仿宋_GB2312" w:eastAsia="仿宋_GB2312"/>
                <w:sz w:val="20"/>
              </w:rPr>
              <w:t>项社保、医保、人事代理等相关业务全面下沉，进一步丰富办事体验，让企业群众就近享受和政务大厅同质化的服务。</w:t>
            </w:r>
          </w:p>
          <w:p>
            <w:pPr>
              <w:pStyle w:val="null3"/>
              <w:numPr>
                <w:ilvl w:val="0"/>
                <w:numId w:val="1"/>
              </w:numPr>
              <w:jc w:val="both"/>
            </w:pPr>
            <w:r>
              <w:rPr>
                <w:rFonts w:ascii="仿宋_GB2312" w:hAnsi="仿宋_GB2312" w:cs="仿宋_GB2312" w:eastAsia="仿宋_GB2312"/>
                <w:sz w:val="20"/>
              </w:rPr>
              <w:t>项目招标限价：</w:t>
            </w:r>
            <w:r>
              <w:rPr>
                <w:rFonts w:ascii="仿宋_GB2312" w:hAnsi="仿宋_GB2312" w:cs="仿宋_GB2312" w:eastAsia="仿宋_GB2312"/>
                <w:sz w:val="20"/>
              </w:rPr>
              <w:t>216</w:t>
            </w:r>
            <w:r>
              <w:rPr>
                <w:rFonts w:ascii="仿宋_GB2312" w:hAnsi="仿宋_GB2312" w:cs="仿宋_GB2312" w:eastAsia="仿宋_GB2312"/>
                <w:sz w:val="20"/>
              </w:rPr>
              <w:t>万元。</w:t>
            </w:r>
          </w:p>
          <w:p>
            <w:pPr>
              <w:pStyle w:val="null3"/>
              <w:numPr>
                <w:ilvl w:val="0"/>
                <w:numId w:val="1"/>
              </w:numPr>
              <w:jc w:val="both"/>
            </w:pPr>
            <w:r>
              <w:rPr>
                <w:rFonts w:ascii="仿宋_GB2312" w:hAnsi="仿宋_GB2312" w:cs="仿宋_GB2312" w:eastAsia="仿宋_GB2312"/>
                <w:sz w:val="20"/>
              </w:rPr>
              <w:t>项目周期：</w:t>
            </w:r>
            <w:r>
              <w:rPr>
                <w:rFonts w:ascii="仿宋_GB2312" w:hAnsi="仿宋_GB2312" w:cs="仿宋_GB2312" w:eastAsia="仿宋_GB2312"/>
                <w:sz w:val="20"/>
              </w:rPr>
              <w:t>2025.12.06-2026.12.05</w:t>
            </w:r>
            <w:r>
              <w:rPr>
                <w:rFonts w:ascii="仿宋_GB2312" w:hAnsi="仿宋_GB2312" w:cs="仿宋_GB2312" w:eastAsia="仿宋_GB2312"/>
                <w:sz w:val="20"/>
              </w:rPr>
              <w:t>（具体项目周期以正式合同为准）。</w:t>
            </w:r>
          </w:p>
          <w:p>
            <w:pPr>
              <w:pStyle w:val="null3"/>
              <w:numPr>
                <w:ilvl w:val="0"/>
                <w:numId w:val="1"/>
              </w:numPr>
              <w:jc w:val="both"/>
            </w:pPr>
            <w:r>
              <w:rPr>
                <w:rFonts w:ascii="仿宋_GB2312" w:hAnsi="仿宋_GB2312" w:cs="仿宋_GB2312" w:eastAsia="仿宋_GB2312"/>
                <w:sz w:val="20"/>
              </w:rPr>
              <w:t>采购要求：</w:t>
            </w:r>
          </w:p>
          <w:p>
            <w:pPr>
              <w:pStyle w:val="null3"/>
              <w:ind w:firstLine="640"/>
              <w:jc w:val="both"/>
            </w:pPr>
            <w:r>
              <w:rPr>
                <w:rFonts w:ascii="仿宋_GB2312" w:hAnsi="仿宋_GB2312" w:cs="仿宋_GB2312" w:eastAsia="仿宋_GB2312"/>
                <w:sz w:val="20"/>
              </w:rPr>
              <w:t>（一）服务范围</w:t>
            </w:r>
          </w:p>
          <w:p>
            <w:pPr>
              <w:pStyle w:val="null3"/>
              <w:ind w:firstLine="645"/>
              <w:jc w:val="left"/>
            </w:pPr>
            <w:r>
              <w:rPr>
                <w:rFonts w:ascii="仿宋_GB2312" w:hAnsi="仿宋_GB2312" w:cs="仿宋_GB2312" w:eastAsia="仿宋_GB2312"/>
                <w:sz w:val="20"/>
              </w:rPr>
              <w:t>1.</w:t>
            </w:r>
            <w:r>
              <w:rPr>
                <w:rFonts w:ascii="仿宋_GB2312" w:hAnsi="仿宋_GB2312" w:cs="仿宋_GB2312" w:eastAsia="仿宋_GB2312"/>
                <w:sz w:val="20"/>
              </w:rPr>
              <w:t>做好高新区社保、医保、人事代理等业务的政策法规、业务流程、办事指南及相关问题的咨询答复工作；</w:t>
            </w:r>
          </w:p>
          <w:p>
            <w:pPr>
              <w:pStyle w:val="null3"/>
              <w:ind w:firstLine="645"/>
              <w:jc w:val="left"/>
            </w:pPr>
            <w:r>
              <w:rPr>
                <w:rFonts w:ascii="仿宋_GB2312" w:hAnsi="仿宋_GB2312" w:cs="仿宋_GB2312" w:eastAsia="仿宋_GB2312"/>
                <w:sz w:val="20"/>
              </w:rPr>
              <w:t>2.</w:t>
            </w:r>
            <w:r>
              <w:rPr>
                <w:rFonts w:ascii="仿宋_GB2312" w:hAnsi="仿宋_GB2312" w:cs="仿宋_GB2312" w:eastAsia="仿宋_GB2312"/>
                <w:sz w:val="20"/>
              </w:rPr>
              <w:t>完成高新区社保、医保、人事代理等相关业务经办受理工作及资料流转工作（乙方定期安排人员前往各下沉业务服务站、政务服务分中心将其办理的社保、医保、人事代理等业务资料取回并交高新区社会事业服务局进行审核、转办和归档），确保各下沉业务服务站、政务服务分中心业务经办工作正常进行；</w:t>
            </w:r>
          </w:p>
          <w:p>
            <w:pPr>
              <w:pStyle w:val="null3"/>
              <w:ind w:firstLine="645"/>
              <w:jc w:val="left"/>
            </w:pPr>
            <w:r>
              <w:rPr>
                <w:rFonts w:ascii="仿宋_GB2312" w:hAnsi="仿宋_GB2312" w:cs="仿宋_GB2312" w:eastAsia="仿宋_GB2312"/>
                <w:sz w:val="20"/>
              </w:rPr>
              <w:t>3.</w:t>
            </w:r>
            <w:r>
              <w:rPr>
                <w:rFonts w:ascii="仿宋_GB2312" w:hAnsi="仿宋_GB2312" w:cs="仿宋_GB2312" w:eastAsia="仿宋_GB2312"/>
                <w:sz w:val="20"/>
              </w:rPr>
              <w:t>派驻人员于高新区政务服务大厅社保、医保窗口</w:t>
            </w:r>
            <w:r>
              <w:rPr>
                <w:rFonts w:ascii="仿宋_GB2312" w:hAnsi="仿宋_GB2312" w:cs="仿宋_GB2312" w:eastAsia="仿宋_GB2312"/>
                <w:sz w:val="20"/>
              </w:rPr>
              <w:t>及</w:t>
            </w:r>
            <w:r>
              <w:rPr>
                <w:rFonts w:ascii="仿宋_GB2312" w:hAnsi="仿宋_GB2312" w:cs="仿宋_GB2312" w:eastAsia="仿宋_GB2312"/>
                <w:sz w:val="20"/>
              </w:rPr>
              <w:t>高新区政务服务站、政务服务分中心下沉业务服务窗口进行业务辅导帮办</w:t>
            </w:r>
            <w:r>
              <w:rPr>
                <w:rFonts w:ascii="仿宋_GB2312" w:hAnsi="仿宋_GB2312" w:cs="仿宋_GB2312" w:eastAsia="仿宋_GB2312"/>
                <w:sz w:val="20"/>
              </w:rPr>
              <w:t>和远程辅导帮办，</w:t>
            </w:r>
            <w:r>
              <w:rPr>
                <w:rFonts w:ascii="仿宋_GB2312" w:hAnsi="仿宋_GB2312" w:cs="仿宋_GB2312" w:eastAsia="仿宋_GB2312"/>
                <w:sz w:val="20"/>
              </w:rPr>
              <w:t>并交换轮流学习业务办理流程、结合下沉事项参加高新区社会事业服务局组织的各项业务培训，确保业务规则统一化、服务标准同质化；</w:t>
            </w:r>
          </w:p>
          <w:p>
            <w:pPr>
              <w:pStyle w:val="null3"/>
              <w:ind w:firstLine="645"/>
              <w:jc w:val="left"/>
            </w:pPr>
            <w:r>
              <w:rPr>
                <w:rFonts w:ascii="仿宋_GB2312" w:hAnsi="仿宋_GB2312" w:cs="仿宋_GB2312" w:eastAsia="仿宋_GB2312"/>
                <w:sz w:val="20"/>
              </w:rPr>
              <w:t>4.</w:t>
            </w:r>
            <w:r>
              <w:rPr>
                <w:rFonts w:ascii="仿宋_GB2312" w:hAnsi="仿宋_GB2312" w:cs="仿宋_GB2312" w:eastAsia="仿宋_GB2312"/>
                <w:sz w:val="20"/>
              </w:rPr>
              <w:t>根据业务需要，由乙方完成人事档案转递工作。</w:t>
            </w:r>
          </w:p>
          <w:p>
            <w:pPr>
              <w:pStyle w:val="null3"/>
              <w:ind w:firstLine="645"/>
              <w:jc w:val="left"/>
            </w:pPr>
            <w:r>
              <w:rPr>
                <w:rFonts w:ascii="仿宋_GB2312" w:hAnsi="仿宋_GB2312" w:cs="仿宋_GB2312" w:eastAsia="仿宋_GB2312"/>
                <w:sz w:val="20"/>
              </w:rPr>
              <w:t>5.</w:t>
            </w:r>
            <w:r>
              <w:rPr>
                <w:rFonts w:ascii="仿宋_GB2312" w:hAnsi="仿宋_GB2312" w:cs="仿宋_GB2312" w:eastAsia="仿宋_GB2312"/>
                <w:sz w:val="20"/>
              </w:rPr>
              <w:t>完成高新区社会事业服务局交办的其他工作。</w:t>
            </w:r>
          </w:p>
          <w:p>
            <w:pPr>
              <w:pStyle w:val="null3"/>
              <w:ind w:firstLine="640"/>
              <w:jc w:val="both"/>
            </w:pPr>
            <w:r>
              <w:rPr>
                <w:rFonts w:ascii="仿宋_GB2312" w:hAnsi="仿宋_GB2312" w:cs="仿宋_GB2312" w:eastAsia="仿宋_GB2312"/>
                <w:sz w:val="20"/>
              </w:rPr>
              <w:t>（二）服务时间</w:t>
            </w:r>
          </w:p>
          <w:p>
            <w:pPr>
              <w:pStyle w:val="null3"/>
              <w:ind w:firstLine="600"/>
              <w:jc w:val="left"/>
            </w:pPr>
            <w:r>
              <w:rPr>
                <w:rFonts w:ascii="仿宋_GB2312" w:hAnsi="仿宋_GB2312" w:cs="仿宋_GB2312" w:eastAsia="仿宋_GB2312"/>
                <w:sz w:val="20"/>
              </w:rPr>
              <w:t>1. 2025.12.06-2026.12.05</w:t>
            </w:r>
            <w:r>
              <w:rPr>
                <w:rFonts w:ascii="仿宋_GB2312" w:hAnsi="仿宋_GB2312" w:cs="仿宋_GB2312" w:eastAsia="仿宋_GB2312"/>
                <w:sz w:val="20"/>
              </w:rPr>
              <w:t>（具体服务时间以正式合同为准）。</w:t>
            </w:r>
          </w:p>
          <w:p>
            <w:pPr>
              <w:pStyle w:val="null3"/>
              <w:ind w:firstLine="645"/>
              <w:jc w:val="left"/>
            </w:pPr>
            <w:r>
              <w:rPr>
                <w:rFonts w:ascii="仿宋_GB2312" w:hAnsi="仿宋_GB2312" w:cs="仿宋_GB2312" w:eastAsia="仿宋_GB2312"/>
                <w:sz w:val="20"/>
              </w:rPr>
              <w:t>2.</w:t>
            </w:r>
            <w:r>
              <w:rPr>
                <w:rFonts w:ascii="仿宋_GB2312" w:hAnsi="仿宋_GB2312" w:cs="仿宋_GB2312" w:eastAsia="仿宋_GB2312"/>
                <w:sz w:val="20"/>
              </w:rPr>
              <w:t>工作时间</w:t>
            </w:r>
            <w:r>
              <w:rPr>
                <w:rFonts w:ascii="仿宋_GB2312" w:hAnsi="仿宋_GB2312" w:cs="仿宋_GB2312" w:eastAsia="仿宋_GB2312"/>
                <w:sz w:val="20"/>
              </w:rPr>
              <w:t xml:space="preserve">: </w:t>
            </w:r>
            <w:r>
              <w:rPr>
                <w:rFonts w:ascii="仿宋_GB2312" w:hAnsi="仿宋_GB2312" w:cs="仿宋_GB2312" w:eastAsia="仿宋_GB2312"/>
                <w:sz w:val="20"/>
              </w:rPr>
              <w:t>按照高新区社会事业服务局的工作时间</w:t>
            </w:r>
            <w:r>
              <w:rPr>
                <w:rFonts w:ascii="仿宋_GB2312" w:hAnsi="仿宋_GB2312" w:cs="仿宋_GB2312" w:eastAsia="仿宋_GB2312"/>
                <w:sz w:val="20"/>
              </w:rPr>
              <w:t>,</w:t>
            </w:r>
            <w:r>
              <w:rPr>
                <w:rFonts w:ascii="仿宋_GB2312" w:hAnsi="仿宋_GB2312" w:cs="仿宋_GB2312" w:eastAsia="仿宋_GB2312"/>
                <w:sz w:val="20"/>
              </w:rPr>
              <w:t>按国家法定节假日休息。如遇特殊情况</w:t>
            </w:r>
            <w:r>
              <w:rPr>
                <w:rFonts w:ascii="仿宋_GB2312" w:hAnsi="仿宋_GB2312" w:cs="仿宋_GB2312" w:eastAsia="仿宋_GB2312"/>
                <w:sz w:val="20"/>
              </w:rPr>
              <w:t xml:space="preserve">, </w:t>
            </w:r>
            <w:r>
              <w:rPr>
                <w:rFonts w:ascii="仿宋_GB2312" w:hAnsi="仿宋_GB2312" w:cs="仿宋_GB2312" w:eastAsia="仿宋_GB2312"/>
                <w:sz w:val="20"/>
              </w:rPr>
              <w:t>则根据高新区社会事业服务局要求</w:t>
            </w:r>
            <w:r>
              <w:rPr>
                <w:rFonts w:ascii="仿宋_GB2312" w:hAnsi="仿宋_GB2312" w:cs="仿宋_GB2312" w:eastAsia="仿宋_GB2312"/>
                <w:sz w:val="20"/>
              </w:rPr>
              <w:t xml:space="preserve">, </w:t>
            </w:r>
            <w:r>
              <w:rPr>
                <w:rFonts w:ascii="仿宋_GB2312" w:hAnsi="仿宋_GB2312" w:cs="仿宋_GB2312" w:eastAsia="仿宋_GB2312"/>
                <w:sz w:val="20"/>
              </w:rPr>
              <w:t>安排值班和应急工作。</w:t>
            </w:r>
          </w:p>
          <w:p>
            <w:pPr>
              <w:pStyle w:val="null3"/>
              <w:ind w:firstLine="640"/>
              <w:jc w:val="both"/>
            </w:pPr>
            <w:r>
              <w:rPr>
                <w:rFonts w:ascii="仿宋_GB2312" w:hAnsi="仿宋_GB2312" w:cs="仿宋_GB2312" w:eastAsia="仿宋_GB2312"/>
                <w:sz w:val="20"/>
              </w:rPr>
              <w:t>（三）服务费用</w:t>
            </w:r>
          </w:p>
          <w:p>
            <w:pPr>
              <w:pStyle w:val="null3"/>
              <w:ind w:firstLine="400"/>
              <w:jc w:val="left"/>
            </w:pPr>
            <w:r>
              <w:rPr>
                <w:rFonts w:ascii="仿宋_GB2312" w:hAnsi="仿宋_GB2312" w:cs="仿宋_GB2312" w:eastAsia="仿宋_GB2312"/>
                <w:sz w:val="20"/>
              </w:rPr>
              <w:t>参考目前人力资源市场价位、以前年度标准及高新区财政金融局关于外包人员用工成本的标准，按照不超过</w:t>
            </w:r>
            <w:r>
              <w:rPr>
                <w:rFonts w:ascii="仿宋_GB2312" w:hAnsi="仿宋_GB2312" w:cs="仿宋_GB2312" w:eastAsia="仿宋_GB2312"/>
                <w:sz w:val="20"/>
              </w:rPr>
              <w:t>8</w:t>
            </w:r>
            <w:r>
              <w:rPr>
                <w:rFonts w:ascii="仿宋_GB2312" w:hAnsi="仿宋_GB2312" w:cs="仿宋_GB2312" w:eastAsia="仿宋_GB2312"/>
                <w:sz w:val="20"/>
              </w:rPr>
              <w:t>万</w:t>
            </w:r>
            <w:r>
              <w:rPr>
                <w:rFonts w:ascii="仿宋_GB2312" w:hAnsi="仿宋_GB2312" w:cs="仿宋_GB2312" w:eastAsia="仿宋_GB2312"/>
                <w:sz w:val="20"/>
              </w:rPr>
              <w:t>/</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年左右的用工成本核算，费用不超过</w:t>
            </w:r>
            <w:r>
              <w:rPr>
                <w:rFonts w:ascii="仿宋_GB2312" w:hAnsi="仿宋_GB2312" w:cs="仿宋_GB2312" w:eastAsia="仿宋_GB2312"/>
                <w:sz w:val="20"/>
              </w:rPr>
              <w:t>216</w:t>
            </w:r>
            <w:r>
              <w:rPr>
                <w:rFonts w:ascii="仿宋_GB2312" w:hAnsi="仿宋_GB2312" w:cs="仿宋_GB2312" w:eastAsia="仿宋_GB2312"/>
                <w:sz w:val="20"/>
              </w:rPr>
              <w:t>万元；且定期安排人员将各下沉业务服务站点办理的高新区社保、医保、人事代理等相关业务资料进行流转过程中产生的费用，全部由乙方承担。</w:t>
            </w:r>
          </w:p>
          <w:p>
            <w:pPr>
              <w:pStyle w:val="null3"/>
              <w:ind w:firstLine="640"/>
              <w:jc w:val="both"/>
            </w:pPr>
            <w:r>
              <w:rPr>
                <w:rFonts w:ascii="仿宋_GB2312" w:hAnsi="仿宋_GB2312" w:cs="仿宋_GB2312" w:eastAsia="仿宋_GB2312"/>
                <w:sz w:val="20"/>
              </w:rPr>
              <w:t>（四）服务要求</w:t>
            </w:r>
          </w:p>
          <w:p>
            <w:pPr>
              <w:pStyle w:val="null3"/>
              <w:ind w:firstLine="645"/>
              <w:jc w:val="left"/>
            </w:pPr>
            <w:r>
              <w:rPr>
                <w:rFonts w:ascii="仿宋_GB2312" w:hAnsi="仿宋_GB2312" w:cs="仿宋_GB2312" w:eastAsia="仿宋_GB2312"/>
                <w:sz w:val="20"/>
              </w:rPr>
              <w:t>1.</w:t>
            </w:r>
            <w:r>
              <w:rPr>
                <w:rFonts w:ascii="仿宋_GB2312" w:hAnsi="仿宋_GB2312" w:cs="仿宋_GB2312" w:eastAsia="仿宋_GB2312"/>
                <w:sz w:val="20"/>
              </w:rPr>
              <w:t>进行人员选聘工作，保证业务下沉岗位外包人员不少于</w:t>
            </w:r>
            <w:r>
              <w:rPr>
                <w:rFonts w:ascii="仿宋_GB2312" w:hAnsi="仿宋_GB2312" w:cs="仿宋_GB2312" w:eastAsia="仿宋_GB2312"/>
                <w:sz w:val="20"/>
              </w:rPr>
              <w:t>27</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甲方在招聘阶段参与人员选聘活动，确定最终人员名单；并按照</w:t>
            </w:r>
            <w:r>
              <w:rPr>
                <w:rFonts w:ascii="仿宋_GB2312" w:hAnsi="仿宋_GB2312" w:cs="仿宋_GB2312" w:eastAsia="仿宋_GB2312"/>
                <w:sz w:val="20"/>
              </w:rPr>
              <w:t>要求</w:t>
            </w:r>
            <w:r>
              <w:rPr>
                <w:rFonts w:ascii="仿宋_GB2312" w:hAnsi="仿宋_GB2312" w:cs="仿宋_GB2312" w:eastAsia="仿宋_GB2312"/>
                <w:sz w:val="20"/>
              </w:rPr>
              <w:t>，为服务外包人员配备工作装。</w:t>
            </w:r>
          </w:p>
          <w:p>
            <w:pPr>
              <w:pStyle w:val="null3"/>
              <w:ind w:firstLine="640"/>
              <w:jc w:val="both"/>
            </w:pPr>
            <w:r>
              <w:rPr>
                <w:rFonts w:ascii="仿宋_GB2312" w:hAnsi="仿宋_GB2312" w:cs="仿宋_GB2312" w:eastAsia="仿宋_GB2312"/>
                <w:sz w:val="20"/>
              </w:rPr>
              <w:t>2.</w:t>
            </w:r>
            <w:r>
              <w:rPr>
                <w:rFonts w:ascii="仿宋_GB2312" w:hAnsi="仿宋_GB2312" w:cs="仿宋_GB2312" w:eastAsia="仿宋_GB2312"/>
                <w:sz w:val="20"/>
              </w:rPr>
              <w:t>工作人员任职条件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）须具有中华人民共和国国籍，新招录人员需</w:t>
            </w:r>
            <w:r>
              <w:rPr>
                <w:rFonts w:ascii="仿宋_GB2312" w:hAnsi="仿宋_GB2312" w:cs="仿宋_GB2312" w:eastAsia="仿宋_GB2312"/>
                <w:sz w:val="20"/>
              </w:rPr>
              <w:t>40</w:t>
            </w:r>
            <w:r>
              <w:rPr>
                <w:rFonts w:ascii="仿宋_GB2312" w:hAnsi="仿宋_GB2312" w:cs="仿宋_GB2312" w:eastAsia="仿宋_GB2312"/>
                <w:sz w:val="20"/>
              </w:rPr>
              <w:t>周岁以下</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）普通高等教育本科</w:t>
            </w:r>
            <w:r>
              <w:rPr>
                <w:rFonts w:ascii="仿宋_GB2312" w:hAnsi="仿宋_GB2312" w:cs="仿宋_GB2312" w:eastAsia="仿宋_GB2312"/>
                <w:sz w:val="20"/>
              </w:rPr>
              <w:t>(</w:t>
            </w:r>
            <w:r>
              <w:rPr>
                <w:rFonts w:ascii="仿宋_GB2312" w:hAnsi="仿宋_GB2312" w:cs="仿宋_GB2312" w:eastAsia="仿宋_GB2312"/>
                <w:sz w:val="20"/>
              </w:rPr>
              <w:t>含</w:t>
            </w:r>
            <w:r>
              <w:rPr>
                <w:rFonts w:ascii="仿宋_GB2312" w:hAnsi="仿宋_GB2312" w:cs="仿宋_GB2312" w:eastAsia="仿宋_GB2312"/>
                <w:sz w:val="20"/>
              </w:rPr>
              <w:t>)</w:t>
            </w:r>
            <w:r>
              <w:rPr>
                <w:rFonts w:ascii="仿宋_GB2312" w:hAnsi="仿宋_GB2312" w:cs="仿宋_GB2312" w:eastAsia="仿宋_GB2312"/>
                <w:sz w:val="20"/>
              </w:rPr>
              <w:t>以上学历；有相关工作经验者优先，特别优秀情况学历要求可放宽至全日制普通高等教育专科学历。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）专业不限，社会保障和人力资源管理专业有相关工作经验优先；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）具有较强的沟通协调能力和工作责任心及服务意识，工作积极主动，能够承受压力，吃苦耐劳；</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）思维清晰，具有较强文字组织能力</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）熟悉电脑操作，熟练使用</w:t>
            </w:r>
            <w:r>
              <w:rPr>
                <w:rFonts w:ascii="仿宋_GB2312" w:hAnsi="仿宋_GB2312" w:cs="仿宋_GB2312" w:eastAsia="仿宋_GB2312"/>
                <w:sz w:val="20"/>
              </w:rPr>
              <w:t>office</w:t>
            </w:r>
            <w:r>
              <w:rPr>
                <w:rFonts w:ascii="仿宋_GB2312" w:hAnsi="仿宋_GB2312" w:cs="仿宋_GB2312" w:eastAsia="仿宋_GB2312"/>
                <w:sz w:val="20"/>
              </w:rPr>
              <w:t>等办公软件。</w:t>
            </w:r>
          </w:p>
          <w:p>
            <w:pPr>
              <w:pStyle w:val="null3"/>
              <w:ind w:firstLine="640"/>
              <w:jc w:val="both"/>
            </w:pPr>
            <w:r>
              <w:rPr>
                <w:rFonts w:ascii="仿宋_GB2312" w:hAnsi="仿宋_GB2312" w:cs="仿宋_GB2312" w:eastAsia="仿宋_GB2312"/>
                <w:sz w:val="20"/>
              </w:rPr>
              <w:t>3.</w:t>
            </w:r>
            <w:r>
              <w:rPr>
                <w:rFonts w:ascii="仿宋_GB2312" w:hAnsi="仿宋_GB2312" w:cs="仿宋_GB2312" w:eastAsia="仿宋_GB2312"/>
                <w:sz w:val="20"/>
              </w:rPr>
              <w:t>福利待遇要求</w:t>
            </w:r>
            <w:r>
              <w:rPr>
                <w:rFonts w:ascii="仿宋_GB2312" w:hAnsi="仿宋_GB2312" w:cs="仿宋_GB2312" w:eastAsia="仿宋_GB2312"/>
                <w:sz w:val="20"/>
              </w:rPr>
              <w:t>:</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）依据法律法规，为服务外包人员缴纳各项社会保险。</w:t>
            </w:r>
          </w:p>
          <w:p>
            <w:pPr>
              <w:pStyle w:val="null3"/>
              <w:ind w:firstLine="64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）依据法律法规，确保服务外包人员享有国家规定的各项福利待遇；并通过建立奖励机制、定期进行团建活动等方式，激发外包人员的工作积极性。</w:t>
            </w:r>
          </w:p>
          <w:p>
            <w:pPr>
              <w:pStyle w:val="null3"/>
              <w:ind w:firstLine="640"/>
              <w:jc w:val="both"/>
            </w:pPr>
            <w:r>
              <w:rPr>
                <w:rFonts w:ascii="仿宋_GB2312" w:hAnsi="仿宋_GB2312" w:cs="仿宋_GB2312" w:eastAsia="仿宋_GB2312"/>
                <w:sz w:val="20"/>
              </w:rPr>
              <w:t>4.</w:t>
            </w:r>
            <w:r>
              <w:rPr>
                <w:rFonts w:ascii="仿宋_GB2312" w:hAnsi="仿宋_GB2312" w:cs="仿宋_GB2312" w:eastAsia="仿宋_GB2312"/>
                <w:sz w:val="20"/>
              </w:rPr>
              <w:t>应按照劳动法、劳动合同法等相关法律、法规做好人员管理，同时做好服务外包人员的选聘、日常管理、劳动关系管理、法律纠纷与劳动争议处理等工作。</w:t>
            </w:r>
          </w:p>
          <w:p>
            <w:pPr>
              <w:pStyle w:val="null3"/>
              <w:ind w:firstLine="640"/>
              <w:jc w:val="both"/>
            </w:pPr>
            <w:r>
              <w:rPr>
                <w:rFonts w:ascii="仿宋_GB2312" w:hAnsi="仿宋_GB2312" w:cs="仿宋_GB2312" w:eastAsia="仿宋_GB2312"/>
                <w:sz w:val="20"/>
              </w:rPr>
              <w:t>5.</w:t>
            </w:r>
            <w:r>
              <w:rPr>
                <w:rFonts w:ascii="仿宋_GB2312" w:hAnsi="仿宋_GB2312" w:cs="仿宋_GB2312" w:eastAsia="仿宋_GB2312"/>
                <w:sz w:val="20"/>
              </w:rPr>
              <w:t>为确保外包经办工作的连续性，服务外包人员请假超过两周</w:t>
            </w:r>
            <w:r>
              <w:rPr>
                <w:rFonts w:ascii="仿宋_GB2312" w:hAnsi="仿宋_GB2312" w:cs="仿宋_GB2312" w:eastAsia="仿宋_GB2312"/>
                <w:sz w:val="20"/>
              </w:rPr>
              <w:t>，</w:t>
            </w:r>
            <w:r>
              <w:rPr>
                <w:rFonts w:ascii="仿宋_GB2312" w:hAnsi="仿宋_GB2312" w:cs="仿宋_GB2312" w:eastAsia="仿宋_GB2312"/>
                <w:sz w:val="20"/>
              </w:rPr>
              <w:t>需及时安排顶岗人员</w:t>
            </w:r>
            <w:r>
              <w:rPr>
                <w:rFonts w:ascii="仿宋_GB2312" w:hAnsi="仿宋_GB2312" w:cs="仿宋_GB2312" w:eastAsia="仿宋_GB2312"/>
                <w:sz w:val="20"/>
              </w:rPr>
              <w:t>；</w:t>
            </w:r>
            <w:r>
              <w:rPr>
                <w:rFonts w:ascii="仿宋_GB2312" w:hAnsi="仿宋_GB2312" w:cs="仿宋_GB2312" w:eastAsia="仿宋_GB2312"/>
                <w:sz w:val="20"/>
              </w:rPr>
              <w:t>服务外包人员离职需提前一个月提出申请，外包公司应及时补充空缺人员，确保新旧员工交接无空档。若因外包服务公司发生变更、项目背景发生变化将此项目交由主管单位统一管理（如行政审批局等）时，外包服务公司应确保新承接单位可择优录取原项目工作人员。</w:t>
            </w:r>
          </w:p>
          <w:p>
            <w:pPr>
              <w:pStyle w:val="null3"/>
              <w:jc w:val="both"/>
            </w:pPr>
            <w:r>
              <w:rPr>
                <w:rFonts w:ascii="仿宋_GB2312" w:hAnsi="仿宋_GB2312" w:cs="仿宋_GB2312" w:eastAsia="仿宋_GB2312"/>
                <w:sz w:val="20"/>
              </w:rPr>
              <w:t>六、付款方式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合同签订后</w:t>
            </w:r>
            <w:r>
              <w:rPr>
                <w:rFonts w:ascii="仿宋_GB2312" w:hAnsi="仿宋_GB2312" w:cs="仿宋_GB2312" w:eastAsia="仿宋_GB2312"/>
                <w:sz w:val="20"/>
              </w:rPr>
              <w:t>30</w:t>
            </w:r>
            <w:r>
              <w:rPr>
                <w:rFonts w:ascii="仿宋_GB2312" w:hAnsi="仿宋_GB2312" w:cs="仿宋_GB2312" w:eastAsia="仿宋_GB2312"/>
                <w:sz w:val="20"/>
              </w:rPr>
              <w:t>个工作日内，甲方启动付款手续，向乙方支付合同总价的</w:t>
            </w:r>
            <w:r>
              <w:rPr>
                <w:rFonts w:ascii="仿宋_GB2312" w:hAnsi="仿宋_GB2312" w:cs="仿宋_GB2312" w:eastAsia="仿宋_GB2312"/>
                <w:sz w:val="20"/>
              </w:rPr>
              <w:t>40%</w:t>
            </w:r>
            <w:r>
              <w:rPr>
                <w:rFonts w:ascii="仿宋_GB2312" w:hAnsi="仿宋_GB2312" w:cs="仿宋_GB2312" w:eastAsia="仿宋_GB2312"/>
                <w:sz w:val="20"/>
              </w:rPr>
              <w:t>；合同执行半年后甲方启动第二笔付款手续，向乙方支付合同总价的</w:t>
            </w:r>
            <w:r>
              <w:rPr>
                <w:rFonts w:ascii="仿宋_GB2312" w:hAnsi="仿宋_GB2312" w:cs="仿宋_GB2312" w:eastAsia="仿宋_GB2312"/>
                <w:sz w:val="20"/>
              </w:rPr>
              <w:t>40%</w:t>
            </w:r>
            <w:r>
              <w:rPr>
                <w:rFonts w:ascii="仿宋_GB2312" w:hAnsi="仿宋_GB2312" w:cs="仿宋_GB2312" w:eastAsia="仿宋_GB2312"/>
                <w:sz w:val="20"/>
              </w:rPr>
              <w:t>；合同期满，且经甲方考核验收合格后</w:t>
            </w:r>
            <w:r>
              <w:rPr>
                <w:rFonts w:ascii="仿宋_GB2312" w:hAnsi="仿宋_GB2312" w:cs="仿宋_GB2312" w:eastAsia="仿宋_GB2312"/>
                <w:sz w:val="20"/>
              </w:rPr>
              <w:t>5</w:t>
            </w:r>
            <w:r>
              <w:rPr>
                <w:rFonts w:ascii="仿宋_GB2312" w:hAnsi="仿宋_GB2312" w:cs="仿宋_GB2312" w:eastAsia="仿宋_GB2312"/>
                <w:sz w:val="20"/>
              </w:rPr>
              <w:t>个工作日内，甲方启动余款的付款手续，向乙方支付合同总价的</w:t>
            </w:r>
            <w:r>
              <w:rPr>
                <w:rFonts w:ascii="仿宋_GB2312" w:hAnsi="仿宋_GB2312" w:cs="仿宋_GB2312" w:eastAsia="仿宋_GB2312"/>
                <w:sz w:val="20"/>
              </w:rPr>
              <w:t>20%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）考核验收标准及支付方式：依据双方确立的《项目验收评分表》中的考核得分情况，作为最终的考核标准，按照组织管理、服务规范、人员配备、沟通协调配合、突发事件处理等方面进行考核打分。（</w:t>
            </w:r>
            <w:r>
              <w:rPr>
                <w:rFonts w:ascii="仿宋_GB2312" w:hAnsi="仿宋_GB2312" w:cs="仿宋_GB2312" w:eastAsia="仿宋_GB2312"/>
                <w:sz w:val="20"/>
              </w:rPr>
              <w:t>90≤</w:t>
            </w:r>
            <w:r>
              <w:rPr>
                <w:rFonts w:ascii="仿宋_GB2312" w:hAnsi="仿宋_GB2312" w:cs="仿宋_GB2312" w:eastAsia="仿宋_GB2312"/>
                <w:sz w:val="20"/>
              </w:rPr>
              <w:t>得分</w:t>
            </w:r>
            <w:r>
              <w:rPr>
                <w:rFonts w:ascii="仿宋_GB2312" w:hAnsi="仿宋_GB2312" w:cs="仿宋_GB2312" w:eastAsia="仿宋_GB2312"/>
                <w:sz w:val="20"/>
              </w:rPr>
              <w:t>≤100</w:t>
            </w:r>
            <w:r>
              <w:rPr>
                <w:rFonts w:ascii="仿宋_GB2312" w:hAnsi="仿宋_GB2312" w:cs="仿宋_GB2312" w:eastAsia="仿宋_GB2312"/>
                <w:sz w:val="20"/>
              </w:rPr>
              <w:t>分），甲方全额支付乙方合同余款；</w:t>
            </w:r>
            <w:r>
              <w:rPr>
                <w:rFonts w:ascii="仿宋_GB2312" w:hAnsi="仿宋_GB2312" w:cs="仿宋_GB2312" w:eastAsia="仿宋_GB2312"/>
                <w:sz w:val="20"/>
              </w:rPr>
              <w:t>80≤</w:t>
            </w:r>
            <w:r>
              <w:rPr>
                <w:rFonts w:ascii="仿宋_GB2312" w:hAnsi="仿宋_GB2312" w:cs="仿宋_GB2312" w:eastAsia="仿宋_GB2312"/>
                <w:sz w:val="20"/>
              </w:rPr>
              <w:t>得分＜</w:t>
            </w:r>
            <w:r>
              <w:rPr>
                <w:rFonts w:ascii="仿宋_GB2312" w:hAnsi="仿宋_GB2312" w:cs="仿宋_GB2312" w:eastAsia="仿宋_GB2312"/>
                <w:sz w:val="20"/>
              </w:rPr>
              <w:t>90</w:t>
            </w:r>
            <w:r>
              <w:rPr>
                <w:rFonts w:ascii="仿宋_GB2312" w:hAnsi="仿宋_GB2312" w:cs="仿宋_GB2312" w:eastAsia="仿宋_GB2312"/>
                <w:sz w:val="20"/>
              </w:rPr>
              <w:t>分，甲方在支付员工薪酬福利部分款项后，支付剩余费用的</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70≤</w:t>
            </w:r>
            <w:r>
              <w:rPr>
                <w:rFonts w:ascii="仿宋_GB2312" w:hAnsi="仿宋_GB2312" w:cs="仿宋_GB2312" w:eastAsia="仿宋_GB2312"/>
                <w:sz w:val="20"/>
              </w:rPr>
              <w:t>得分＜</w:t>
            </w:r>
            <w:r>
              <w:rPr>
                <w:rFonts w:ascii="仿宋_GB2312" w:hAnsi="仿宋_GB2312" w:cs="仿宋_GB2312" w:eastAsia="仿宋_GB2312"/>
                <w:sz w:val="20"/>
              </w:rPr>
              <w:t>80</w:t>
            </w:r>
            <w:r>
              <w:rPr>
                <w:rFonts w:ascii="仿宋_GB2312" w:hAnsi="仿宋_GB2312" w:cs="仿宋_GB2312" w:eastAsia="仿宋_GB2312"/>
                <w:sz w:val="20"/>
              </w:rPr>
              <w:t>分，甲方在支付员工薪酬福利部分款项后，支付剩余费用的</w:t>
            </w:r>
            <w:r>
              <w:rPr>
                <w:rFonts w:ascii="仿宋_GB2312" w:hAnsi="仿宋_GB2312" w:cs="仿宋_GB2312" w:eastAsia="仿宋_GB2312"/>
                <w:sz w:val="20"/>
              </w:rPr>
              <w:t>60%</w:t>
            </w:r>
            <w:r>
              <w:rPr>
                <w:rFonts w:ascii="仿宋_GB2312" w:hAnsi="仿宋_GB2312" w:cs="仿宋_GB2312" w:eastAsia="仿宋_GB2312"/>
                <w:sz w:val="20"/>
              </w:rPr>
              <w:t>；</w:t>
            </w:r>
            <w:r>
              <w:rPr>
                <w:rFonts w:ascii="仿宋_GB2312" w:hAnsi="仿宋_GB2312" w:cs="仿宋_GB2312" w:eastAsia="仿宋_GB2312"/>
                <w:sz w:val="20"/>
              </w:rPr>
              <w:t>60≤</w:t>
            </w:r>
            <w:r>
              <w:rPr>
                <w:rFonts w:ascii="仿宋_GB2312" w:hAnsi="仿宋_GB2312" w:cs="仿宋_GB2312" w:eastAsia="仿宋_GB2312"/>
                <w:sz w:val="20"/>
              </w:rPr>
              <w:t>得分＜</w:t>
            </w:r>
            <w:r>
              <w:rPr>
                <w:rFonts w:ascii="仿宋_GB2312" w:hAnsi="仿宋_GB2312" w:cs="仿宋_GB2312" w:eastAsia="仿宋_GB2312"/>
                <w:sz w:val="20"/>
              </w:rPr>
              <w:t>70</w:t>
            </w:r>
            <w:r>
              <w:rPr>
                <w:rFonts w:ascii="仿宋_GB2312" w:hAnsi="仿宋_GB2312" w:cs="仿宋_GB2312" w:eastAsia="仿宋_GB2312"/>
                <w:sz w:val="20"/>
              </w:rPr>
              <w:t>分，甲方在支付员工薪酬福利部分款项后，支付剩余费用的</w:t>
            </w:r>
            <w:r>
              <w:rPr>
                <w:rFonts w:ascii="仿宋_GB2312" w:hAnsi="仿宋_GB2312" w:cs="仿宋_GB2312" w:eastAsia="仿宋_GB2312"/>
                <w:sz w:val="20"/>
              </w:rPr>
              <w:t>50%</w:t>
            </w:r>
            <w:r>
              <w:rPr>
                <w:rFonts w:ascii="仿宋_GB2312" w:hAnsi="仿宋_GB2312" w:cs="仿宋_GB2312" w:eastAsia="仿宋_GB2312"/>
                <w:sz w:val="20"/>
              </w:rPr>
              <w:t>；得分＜</w:t>
            </w:r>
            <w:r>
              <w:rPr>
                <w:rFonts w:ascii="仿宋_GB2312" w:hAnsi="仿宋_GB2312" w:cs="仿宋_GB2312" w:eastAsia="仿宋_GB2312"/>
                <w:sz w:val="20"/>
              </w:rPr>
              <w:t>60</w:t>
            </w:r>
            <w:r>
              <w:rPr>
                <w:rFonts w:ascii="仿宋_GB2312" w:hAnsi="仿宋_GB2312" w:cs="仿宋_GB2312" w:eastAsia="仿宋_GB2312"/>
                <w:sz w:val="20"/>
              </w:rPr>
              <w:t>分，甲方在支付员工薪酬福利部分款项后，剩余费用，不予支付。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）银行转账</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）乙方在每次接受付款前，需开具等额发票给甲方。</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2025.12.06-2026.12.05（具体项目周期以正式合同为准）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合同签订后30个工作日内，甲方启动付款手续，向乙方付款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合同执行半年后甲方启动第二笔付款手续，向乙方付款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合同期满，且经甲方考核验收合格后5个工作日内，甲方启动余款的付款手续，向乙方付款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技术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3.5.1、付款方式说明：因电子化交易系统设置、本章3.3.5条款（支付约定）无法修改，因此，此处的付款方式说明是对3.3.5条款支付约定的解释、补充及说明，若出现不一致时，以此处付款方式要求为准： 本项目付款方式为： （1） 合同签订后30个工作日内，甲方启动付款手续，向乙方支付合同总价的40%；合同执行半年后甲方启动第二笔付款手续，向乙方支付合同总价的40%；合同期满，且经甲方考核验收合格后5个工作日内，甲方启动余款的付款手续，向乙方支付合同总价的20%。 （2）考核验收标准及支付方式：依据双方确立的《项目验收评分表》中的考核得分情况，作为最终的考核标准，按照组织管理、服务规范、人员配备、沟通协调配合、突发事件处理等方面进行考核打分。（90≤得分≤100分），甲方全额支付乙方合同余款；80≤得分＜90分，甲方在支付员工薪酬福利部分款项后，支付剩余费用的80%；70≤得分＜80分，甲方在支付员工薪酬福利部分款项后，支付剩余费用的60%；60≤得分＜70分，甲方在支付员工薪酬福利部分款项后，支付剩余费用的50%；得分＜60分，甲方在支付员工薪酬福利部分款项后，剩余费用，不予支付。 （3）银行转账 （4）乙方在每次接受付款前，需开具等额发票给甲方。 3.5.2、采购标的对应的中小企业划分标准所属行业为租赁和商务服务业。 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3.5.3、需要落实的政府采购政策：（1）《国务院办公厅关于建立政府强制采购节能产品制度的通知》（国办发〔2007〕51号）；（2）《财政部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3.5.3、为顺利推进政府采购电子化交易平台应用工作，供应商需要在线提交所有通过电子化交易平台实施的政府采购项目的投标文件，同时，线下提交纸质投标文件正本一份、副本一份、电子版一份（U盘壹份，电子版文件需为上传至系统后签字盖章的PDF版文件），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三、资格审查资料.docx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三、资格审查资料.docx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投标文件递交截止时间后的网站查询记录为准；或提供《基本资格条件承诺函》；</w:t>
            </w:r>
          </w:p>
        </w:tc>
        <w:tc>
          <w:tcPr>
            <w:tcW w:type="dxa" w:w="1661"/>
          </w:tcPr>
          <w:p>
            <w:pPr>
              <w:pStyle w:val="null3"/>
            </w:pPr>
            <w:r>
              <w:rPr>
                <w:rFonts w:ascii="仿宋_GB2312" w:hAnsi="仿宋_GB2312" w:cs="仿宋_GB2312" w:eastAsia="仿宋_GB2312"/>
              </w:rPr>
              <w:t>三、资格审查资料.docx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三、资格审查资料.docx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w:t>
            </w:r>
          </w:p>
        </w:tc>
        <w:tc>
          <w:tcPr>
            <w:tcW w:type="dxa" w:w="1661"/>
          </w:tcPr>
          <w:p>
            <w:pPr>
              <w:pStyle w:val="null3"/>
            </w:pPr>
            <w:r>
              <w:rPr>
                <w:rFonts w:ascii="仿宋_GB2312" w:hAnsi="仿宋_GB2312" w:cs="仿宋_GB2312" w:eastAsia="仿宋_GB2312"/>
              </w:rPr>
              <w:t>开标一览表 投标文件封面 一、开标一览表（唱标报告）.docx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参加的，须提供法定代表人（单位负责人）身份证明（附法定代表人（单位负责人）身份证复印件）；法定代表人（单位负责人）授权他人参加的，须提供法定代表人（单位负责人）委托授权书（附法定代表人（单位负责人）、被授权人身份证复印件、被授权人社保缴纳证明）；</w:t>
            </w:r>
          </w:p>
        </w:tc>
        <w:tc>
          <w:tcPr>
            <w:tcW w:type="dxa" w:w="3322"/>
          </w:tcPr>
          <w:p>
            <w:pPr>
              <w:pStyle w:val="null3"/>
            </w:pPr>
            <w:r>
              <w:rPr>
                <w:rFonts w:ascii="仿宋_GB2312" w:hAnsi="仿宋_GB2312" w:cs="仿宋_GB2312" w:eastAsia="仿宋_GB2312"/>
              </w:rPr>
              <w:t>见招标文件格式“二、法定代表人（单位负责人/自然人）身份证明、法定代表人授权委托书”要求。</w:t>
            </w:r>
          </w:p>
        </w:tc>
        <w:tc>
          <w:tcPr>
            <w:tcW w:type="dxa" w:w="1661"/>
          </w:tcPr>
          <w:p>
            <w:pPr>
              <w:pStyle w:val="null3"/>
            </w:pPr>
            <w:r>
              <w:rPr>
                <w:rFonts w:ascii="仿宋_GB2312" w:hAnsi="仿宋_GB2312" w:cs="仿宋_GB2312" w:eastAsia="仿宋_GB2312"/>
              </w:rPr>
              <w:t>投标文件封面 二、法定代表人及授权委托书.docx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内容无重大缺漏项，报价唯一，且没有高于采购预算。</w:t>
            </w:r>
          </w:p>
        </w:tc>
        <w:tc>
          <w:tcPr>
            <w:tcW w:type="dxa" w:w="1661"/>
          </w:tcPr>
          <w:p>
            <w:pPr>
              <w:pStyle w:val="null3"/>
            </w:pPr>
            <w:r>
              <w:rPr>
                <w:rFonts w:ascii="仿宋_GB2312" w:hAnsi="仿宋_GB2312" w:cs="仿宋_GB2312" w:eastAsia="仿宋_GB2312"/>
              </w:rPr>
              <w:t>开标一览表 投标文件封面 一、开标一览表（唱标报告）.docx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投标文件的签署、加盖印章合格、有效；</w:t>
            </w:r>
          </w:p>
        </w:tc>
        <w:tc>
          <w:tcPr>
            <w:tcW w:type="dxa" w:w="1661"/>
          </w:tcPr>
          <w:p>
            <w:pPr>
              <w:pStyle w:val="null3"/>
            </w:pPr>
            <w:r>
              <w:rPr>
                <w:rFonts w:ascii="仿宋_GB2312" w:hAnsi="仿宋_GB2312" w:cs="仿宋_GB2312" w:eastAsia="仿宋_GB2312"/>
              </w:rPr>
              <w:t>开标一览表 中小企业声明函 五、商务响应及技术偏离表.docx 二、法定代表人及授权委托书.docx 三、资格审查资料.docx 投标函 残疾人福利性单位声明函 六、承诺书.docx 标的清单 投标文件封面 四、投标方案.docx 一、开标一览表（唱标报告）.docx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 一、开标一览表（唱标报告）.docx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项目周期（服务期限）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投标文件封面 一、开标一览表（唱标报告）.docx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投标文件未出现招标文件、法律法规规定的无效响应情形。</w:t>
            </w:r>
          </w:p>
        </w:tc>
        <w:tc>
          <w:tcPr>
            <w:tcW w:type="dxa" w:w="1661"/>
          </w:tcPr>
          <w:p>
            <w:pPr>
              <w:pStyle w:val="null3"/>
            </w:pPr>
            <w:r>
              <w:rPr>
                <w:rFonts w:ascii="仿宋_GB2312" w:hAnsi="仿宋_GB2312" w:cs="仿宋_GB2312" w:eastAsia="仿宋_GB2312"/>
              </w:rPr>
              <w:t>开标一览表 中小企业声明函 五、商务响应及技术偏离表.docx 二、法定代表人及授权委托书.docx 三、资格审查资料.docx 投标函 残疾人福利性单位声明函 六、承诺书.docx 标的清单 投标文件封面 四、投标方案.docx 一、开标一览表（唱标报告）.docx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具有完整的服务需求内容分析、明确的服务目标，完全符合本次采购人员的各岗位工作职能，对项目理解和把握精准得9分； 对本次服务需求内容分析较明确、基本把握本次服务目标，所提供服务方案较能满足本项目需求得7； 对本次服务需求内容分析基本准确、基本能把握本次服务目标，所提供服务方案基本满足本项目需求得5分； 对本次服务需求内容分析不准确、服务目标不够明确，得2分； 未提供相关内容此分项不得分。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工作组织管理及实施计划</w:t>
            </w:r>
          </w:p>
        </w:tc>
        <w:tc>
          <w:tcPr>
            <w:tcW w:type="dxa" w:w="2492"/>
          </w:tcPr>
          <w:p>
            <w:pPr>
              <w:pStyle w:val="null3"/>
            </w:pPr>
            <w:r>
              <w:rPr>
                <w:rFonts w:ascii="仿宋_GB2312" w:hAnsi="仿宋_GB2312" w:cs="仿宋_GB2312" w:eastAsia="仿宋_GB2312"/>
              </w:rPr>
              <w:t>针对本项目有明确、切实可行的工作组织管理及实施计划，招聘实施方案切实可行，工作人员管理制度完善得9分； 能够提供较符合本项目的工作组织管理、实施计划、招聘实施方案及工作人员管理制度，较能满足采购需求，得7分； 能够提供基本符合本项目的工作组织管理、实施计划、招聘实施方案及工作人员管理制度，基本满足采购需求，得5分； 提供的工作组织管理及实施计划、招聘实施方案、工作人员管理制度欠合理，满意实施，得2分； 未提供相关内容此分项不得分。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岗位培训</w:t>
            </w:r>
          </w:p>
        </w:tc>
        <w:tc>
          <w:tcPr>
            <w:tcW w:type="dxa" w:w="2492"/>
          </w:tcPr>
          <w:p>
            <w:pPr>
              <w:pStyle w:val="null3"/>
            </w:pPr>
            <w:r>
              <w:rPr>
                <w:rFonts w:ascii="仿宋_GB2312" w:hAnsi="仿宋_GB2312" w:cs="仿宋_GB2312" w:eastAsia="仿宋_GB2312"/>
              </w:rPr>
              <w:t>针对本项目情况及采购人要求，对投入本项目服务人员进行岗位培训，培训方案完整、可行，针对性强，得8分； 针对本项目情况及采购人要求，对投入本项目服务人员进行岗位培训，培训方案较完整可行，较有针对性，得6分； 针对本项目情况及采购人要求，对投入本项目服务人员进行岗位培训，培训方案较基本完整，但不贴合本项目，得4分； 提供的岗位培训方案简单，欠合理，得1分； 未提供相关内容此分项不得分。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具有可行完善的突发事件处理预案措施，措施全面细致，可操作性强得9分； 应急预案处理措施较全面细致，可行性较强，得7分； 应急预案处理措施基本全面，可行性一般，得5分； 应急预案处理措施简单，欠合理，得2分； 未提供相关内容此分项不得分。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劳务纠纷的处理</w:t>
            </w:r>
          </w:p>
        </w:tc>
        <w:tc>
          <w:tcPr>
            <w:tcW w:type="dxa" w:w="2492"/>
          </w:tcPr>
          <w:p>
            <w:pPr>
              <w:pStyle w:val="null3"/>
            </w:pPr>
            <w:r>
              <w:rPr>
                <w:rFonts w:ascii="仿宋_GB2312" w:hAnsi="仿宋_GB2312" w:cs="仿宋_GB2312" w:eastAsia="仿宋_GB2312"/>
              </w:rPr>
              <w:t>具有具体的针对劳务纠纷的处理办法及形式，处理办法合理可行，效用性强，得5分； 劳务纠纷的处理办法及形式较合理可行，具有一定的效用，得3分； 劳务纠纷的处理办法及形式欠合理，得1分；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针对本项目的招聘实施组织机构、人员安排有具体方案，分工合理、责任明确，能确保项目顺利实施，得5分； 针对本项目的实施组织机构、人员安排方案及分工合理、责任较明确，基本能保证项目顺利实施，得3分； 本项目实施组织机构及人员安排、分工混乱，职责划分不明确，得1分；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考核 方案—</w:t>
            </w:r>
          </w:p>
        </w:tc>
        <w:tc>
          <w:tcPr>
            <w:tcW w:type="dxa" w:w="2492"/>
          </w:tcPr>
          <w:p>
            <w:pPr>
              <w:pStyle w:val="null3"/>
            </w:pPr>
            <w:r>
              <w:rPr>
                <w:rFonts w:ascii="仿宋_GB2312" w:hAnsi="仿宋_GB2312" w:cs="仿宋_GB2312" w:eastAsia="仿宋_GB2312"/>
              </w:rPr>
              <w:t>1.根据工作人员实际出勤情况、现场工作纪律和业务能力等方面进行考核，考核方案全面，完整可行，得5分； 考勤、纪律、业务能力考核方案较全面，较完整可行，得3分； 考勤、纪律、业务能力考核方案简单，欠合理，得1分；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考核 方案二</w:t>
            </w:r>
          </w:p>
        </w:tc>
        <w:tc>
          <w:tcPr>
            <w:tcW w:type="dxa" w:w="2492"/>
          </w:tcPr>
          <w:p>
            <w:pPr>
              <w:pStyle w:val="null3"/>
            </w:pPr>
            <w:r>
              <w:rPr>
                <w:rFonts w:ascii="仿宋_GB2312" w:hAnsi="仿宋_GB2312" w:cs="仿宋_GB2312" w:eastAsia="仿宋_GB2312"/>
              </w:rPr>
              <w:t>2.根据有关法律法规和实际情况制定《请销假管理制度及考核办法》，管理办法全面完整，切实可行，得5分； 《请销假管理制度及考核办法》较全面完整，基本可行，得3分； 《请销假管理制度及考核办法》简单，欠合理，得1分；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考核 方案三</w:t>
            </w:r>
          </w:p>
        </w:tc>
        <w:tc>
          <w:tcPr>
            <w:tcW w:type="dxa" w:w="2492"/>
          </w:tcPr>
          <w:p>
            <w:pPr>
              <w:pStyle w:val="null3"/>
            </w:pPr>
            <w:r>
              <w:rPr>
                <w:rFonts w:ascii="仿宋_GB2312" w:hAnsi="仿宋_GB2312" w:cs="仿宋_GB2312" w:eastAsia="仿宋_GB2312"/>
              </w:rPr>
              <w:t>3.根据有关法律法规和各岗位实际情况制定《岗位考核细则》，岗位考核细则全面，考核办法合理可行，得5分； 岗位考核细则较全面，考核办法较合理可行，得3分； 岗位考核细则简单，考核办法欠合理，得1分；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考核 方案四</w:t>
            </w:r>
          </w:p>
        </w:tc>
        <w:tc>
          <w:tcPr>
            <w:tcW w:type="dxa" w:w="2492"/>
          </w:tcPr>
          <w:p>
            <w:pPr>
              <w:pStyle w:val="null3"/>
            </w:pPr>
            <w:r>
              <w:rPr>
                <w:rFonts w:ascii="仿宋_GB2312" w:hAnsi="仿宋_GB2312" w:cs="仿宋_GB2312" w:eastAsia="仿宋_GB2312"/>
              </w:rPr>
              <w:t>4.根据有关法律法规和实际情况制定适合本单位工作的《工作人员奖惩制度》，工作人员奖惩制度全面合理，效用性大，得5分； 工作人员奖惩制度较全面合理，基本有效可行，得3分； 工作人员奖惩制度简单，欠合理，得1分；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考核 方案五</w:t>
            </w:r>
          </w:p>
        </w:tc>
        <w:tc>
          <w:tcPr>
            <w:tcW w:type="dxa" w:w="2492"/>
          </w:tcPr>
          <w:p>
            <w:pPr>
              <w:pStyle w:val="null3"/>
            </w:pPr>
            <w:r>
              <w:rPr>
                <w:rFonts w:ascii="仿宋_GB2312" w:hAnsi="仿宋_GB2312" w:cs="仿宋_GB2312" w:eastAsia="仿宋_GB2312"/>
              </w:rPr>
              <w:t>5.制定详实可行的《业务考核制度》，业务考核全面，切实可行，得5分； 业务考核较全面，基本可行，得3分； 业务考核简单，方式方法欠合理，得1分；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服务承诺和建议一</w:t>
            </w:r>
          </w:p>
        </w:tc>
        <w:tc>
          <w:tcPr>
            <w:tcW w:type="dxa" w:w="2492"/>
          </w:tcPr>
          <w:p>
            <w:pPr>
              <w:pStyle w:val="null3"/>
            </w:pPr>
            <w:r>
              <w:rPr>
                <w:rFonts w:ascii="仿宋_GB2312" w:hAnsi="仿宋_GB2312" w:cs="仿宋_GB2312" w:eastAsia="仿宋_GB2312"/>
              </w:rPr>
              <w:t>为更好的服务于本项目，供应商对本项目提出合理化建议，建议贴合项目实施，合理可行，得5分； 建议较符合本项目实施，基本可行，得3分； 建议欠合理，得1分；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vMerge/>
          </w:tcPr>
          <w:p/>
        </w:tc>
        <w:tc>
          <w:tcPr>
            <w:tcW w:type="dxa" w:w="1661"/>
          </w:tcPr>
          <w:p>
            <w:pPr>
              <w:pStyle w:val="null3"/>
            </w:pPr>
            <w:r>
              <w:rPr>
                <w:rFonts w:ascii="仿宋_GB2312" w:hAnsi="仿宋_GB2312" w:cs="仿宋_GB2312" w:eastAsia="仿宋_GB2312"/>
              </w:rPr>
              <w:t>服务承诺和建议二</w:t>
            </w:r>
          </w:p>
        </w:tc>
        <w:tc>
          <w:tcPr>
            <w:tcW w:type="dxa" w:w="2492"/>
          </w:tcPr>
          <w:p>
            <w:pPr>
              <w:pStyle w:val="null3"/>
            </w:pPr>
            <w:r>
              <w:rPr>
                <w:rFonts w:ascii="仿宋_GB2312" w:hAnsi="仿宋_GB2312" w:cs="仿宋_GB2312" w:eastAsia="仿宋_GB2312"/>
              </w:rPr>
              <w:t>为更好的服务于本项目及采购人，供应商对项目提出相应的服务承诺，服务承诺全面完整，得5分； 服务承诺较全面完整，得3分； 服务承诺简单，得1分； 未提供相关内容此分项不得分。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项目 业绩</w:t>
            </w:r>
          </w:p>
        </w:tc>
        <w:tc>
          <w:tcPr>
            <w:tcW w:type="dxa" w:w="2492"/>
          </w:tcPr>
          <w:p>
            <w:pPr>
              <w:pStyle w:val="null3"/>
            </w:pPr>
            <w:r>
              <w:rPr>
                <w:rFonts w:ascii="仿宋_GB2312" w:hAnsi="仿宋_GB2312" w:cs="仿宋_GB2312" w:eastAsia="仿宋_GB2312"/>
              </w:rPr>
              <w:t>供应商须提供类似项目的业绩合同（2022年1月至今），每提供一份得2分，满分10分。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四、投标方案.docx</w:t>
            </w:r>
          </w:p>
          <w:p>
            <w:pPr>
              <w:pStyle w:val="null3"/>
            </w:pPr>
            <w:r>
              <w:rPr>
                <w:rFonts w:ascii="仿宋_GB2312" w:hAnsi="仿宋_GB2312" w:cs="仿宋_GB2312" w:eastAsia="仿宋_GB2312"/>
              </w:rPr>
              <w:t>五、商务响应及技术偏离表.docx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采用低价优先法计算，即通过符合性审查且价格最低的有效投标报价为评标基准价，其价格分为满分。投标报价得分＝（评标基准价/投标报价）×10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三、资格审查资料.docx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详见附件：一、开标一览表（唱标报告）.docx</w:t>
      </w:r>
    </w:p>
    <w:p>
      <w:pPr>
        <w:pStyle w:val="null3"/>
        <w:ind w:firstLine="960"/>
      </w:pPr>
      <w:r>
        <w:rPr>
          <w:rFonts w:ascii="仿宋_GB2312" w:hAnsi="仿宋_GB2312" w:cs="仿宋_GB2312" w:eastAsia="仿宋_GB2312"/>
        </w:rPr>
        <w:t>详见附件：二、法定代表人及授权委托书.docx</w:t>
      </w:r>
    </w:p>
    <w:p>
      <w:pPr>
        <w:pStyle w:val="null3"/>
        <w:ind w:firstLine="960"/>
      </w:pPr>
      <w:r>
        <w:rPr>
          <w:rFonts w:ascii="仿宋_GB2312" w:hAnsi="仿宋_GB2312" w:cs="仿宋_GB2312" w:eastAsia="仿宋_GB2312"/>
        </w:rPr>
        <w:t>详见附件：三、资格审查资料.docx</w:t>
      </w:r>
    </w:p>
    <w:p>
      <w:pPr>
        <w:pStyle w:val="null3"/>
        <w:ind w:firstLine="960"/>
      </w:pPr>
      <w:r>
        <w:rPr>
          <w:rFonts w:ascii="仿宋_GB2312" w:hAnsi="仿宋_GB2312" w:cs="仿宋_GB2312" w:eastAsia="仿宋_GB2312"/>
        </w:rPr>
        <w:t>详见附件：四、投标方案.docx</w:t>
      </w:r>
    </w:p>
    <w:p>
      <w:pPr>
        <w:pStyle w:val="null3"/>
        <w:ind w:firstLine="960"/>
      </w:pPr>
      <w:r>
        <w:rPr>
          <w:rFonts w:ascii="仿宋_GB2312" w:hAnsi="仿宋_GB2312" w:cs="仿宋_GB2312" w:eastAsia="仿宋_GB2312"/>
        </w:rPr>
        <w:t>详见附件：五、商务响应及技术偏离表.docx</w:t>
      </w:r>
    </w:p>
    <w:p>
      <w:pPr>
        <w:pStyle w:val="null3"/>
        <w:ind w:firstLine="960"/>
      </w:pPr>
      <w:r>
        <w:rPr>
          <w:rFonts w:ascii="仿宋_GB2312" w:hAnsi="仿宋_GB2312" w:cs="仿宋_GB2312" w:eastAsia="仿宋_GB2312"/>
        </w:rPr>
        <w:t>详见附件：六、承诺书.docx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