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31DF4C">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rPr>
      </w:pPr>
      <w:r>
        <w:rPr>
          <w:rFonts w:hint="eastAsia" w:ascii="宋体" w:hAnsi="宋体" w:eastAsia="宋体" w:cs="宋体"/>
          <w:b/>
          <w:bCs/>
          <w:color w:val="auto"/>
          <w:sz w:val="32"/>
          <w:szCs w:val="32"/>
          <w:highlight w:val="none"/>
          <w:lang w:val="zh-CN"/>
        </w:rPr>
        <w:t>合同范本</w:t>
      </w:r>
      <w:r>
        <w:rPr>
          <w:rFonts w:hint="eastAsia" w:ascii="宋体" w:hAnsi="宋体" w:eastAsia="宋体" w:cs="宋体"/>
          <w:b/>
          <w:bCs/>
          <w:sz w:val="28"/>
          <w:szCs w:val="28"/>
        </w:rPr>
        <w:t xml:space="preserve">                         </w:t>
      </w:r>
      <w:bookmarkStart w:id="0" w:name="_Toc86202634"/>
      <w:bookmarkStart w:id="1" w:name="_Toc171913691"/>
    </w:p>
    <w:p w14:paraId="24896499">
      <w:pPr>
        <w:widowControl/>
        <w:snapToGrid w:val="0"/>
        <w:spacing w:line="360" w:lineRule="auto"/>
        <w:ind w:firstLine="560" w:firstLineChars="200"/>
        <w:rPr>
          <w:rFonts w:ascii="宋体" w:hAnsi="宋体" w:cs="宋体"/>
          <w:sz w:val="28"/>
          <w:szCs w:val="28"/>
        </w:rPr>
      </w:pPr>
      <w:bookmarkStart w:id="2" w:name="_Toc14470"/>
      <w:r>
        <w:rPr>
          <w:rFonts w:hint="eastAsia" w:ascii="宋体" w:hAnsi="宋体" w:cs="宋体"/>
          <w:color w:val="auto"/>
          <w:sz w:val="28"/>
          <w:szCs w:val="28"/>
          <w:highlight w:val="none"/>
          <w:u w:val="single"/>
          <w:lang w:val="en-US" w:eastAsia="zh-CN"/>
        </w:rPr>
        <w:t xml:space="preserve"> （项目名称） </w:t>
      </w:r>
      <w:r>
        <w:rPr>
          <w:rFonts w:hint="eastAsia" w:ascii="宋体" w:hAnsi="宋体" w:cs="宋体"/>
          <w:sz w:val="28"/>
          <w:szCs w:val="28"/>
        </w:rPr>
        <w:t>，由</w:t>
      </w:r>
      <w:r>
        <w:rPr>
          <w:rFonts w:hint="eastAsia" w:ascii="宋体" w:hAnsi="宋体" w:cs="宋体"/>
          <w:sz w:val="28"/>
          <w:szCs w:val="28"/>
          <w:lang w:eastAsia="zh-CN"/>
        </w:rPr>
        <w:t>陕西中诚天和项目管理有限公司</w:t>
      </w:r>
      <w:r>
        <w:rPr>
          <w:rFonts w:hint="eastAsia" w:ascii="宋体" w:hAnsi="宋体" w:cs="宋体"/>
          <w:sz w:val="28"/>
          <w:szCs w:val="28"/>
        </w:rPr>
        <w:t>组织采购，选定</w:t>
      </w:r>
      <w:r>
        <w:rPr>
          <w:rFonts w:hint="eastAsia" w:ascii="宋体" w:hAnsi="宋体" w:cs="宋体"/>
          <w:sz w:val="28"/>
          <w:szCs w:val="28"/>
          <w:u w:val="single"/>
        </w:rPr>
        <w:t xml:space="preserve">                </w:t>
      </w:r>
      <w:r>
        <w:rPr>
          <w:rFonts w:hint="eastAsia" w:ascii="宋体" w:hAnsi="宋体" w:cs="宋体"/>
          <w:sz w:val="28"/>
          <w:szCs w:val="28"/>
        </w:rPr>
        <w:t>(以下简称乙方）为该项目成交供应商。根据《中华人民共和国民法典》和《中华人民共和国政府采购法》，经甲、乙双方共同协商，按下述条款和条件签署本合同。</w:t>
      </w:r>
    </w:p>
    <w:p w14:paraId="26209EA0">
      <w:pPr>
        <w:widowControl/>
        <w:snapToGrid w:val="0"/>
        <w:spacing w:line="360" w:lineRule="auto"/>
        <w:ind w:firstLine="560" w:firstLineChars="200"/>
        <w:outlineLvl w:val="1"/>
        <w:rPr>
          <w:rFonts w:ascii="宋体" w:hAnsi="宋体" w:cs="宋体"/>
          <w:sz w:val="28"/>
          <w:szCs w:val="28"/>
        </w:rPr>
      </w:pPr>
      <w:bookmarkStart w:id="3" w:name="_Toc4829"/>
      <w:bookmarkStart w:id="4" w:name="_Toc27096"/>
      <w:bookmarkStart w:id="5" w:name="_Toc1706"/>
      <w:bookmarkStart w:id="6" w:name="_Toc8483"/>
      <w:bookmarkStart w:id="7" w:name="_Toc26925"/>
      <w:bookmarkStart w:id="8" w:name="_Toc18111"/>
      <w:bookmarkStart w:id="9" w:name="_Toc29536"/>
      <w:bookmarkStart w:id="10" w:name="_Toc27221"/>
      <w:bookmarkStart w:id="11" w:name="_Toc11033"/>
      <w:bookmarkStart w:id="12" w:name="_Toc1898"/>
      <w:bookmarkStart w:id="13" w:name="_Toc24357"/>
      <w:bookmarkStart w:id="14" w:name="_Toc32551"/>
      <w:bookmarkStart w:id="15" w:name="_Toc24708"/>
      <w:bookmarkStart w:id="16" w:name="_Toc19135"/>
      <w:bookmarkStart w:id="17" w:name="_Toc20728"/>
      <w:bookmarkStart w:id="18" w:name="_Toc1208"/>
      <w:r>
        <w:rPr>
          <w:rFonts w:hint="eastAsia" w:ascii="宋体" w:hAnsi="宋体" w:cs="宋体"/>
          <w:sz w:val="28"/>
          <w:szCs w:val="28"/>
        </w:rPr>
        <w:t>一、合同内容</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14:paraId="738A31FD">
      <w:pPr>
        <w:widowControl/>
        <w:snapToGrid w:val="0"/>
        <w:spacing w:line="360" w:lineRule="auto"/>
        <w:ind w:firstLine="560" w:firstLineChars="200"/>
        <w:rPr>
          <w:rFonts w:ascii="宋体" w:hAnsi="宋体" w:cs="宋体"/>
          <w:sz w:val="28"/>
          <w:szCs w:val="28"/>
        </w:rPr>
      </w:pPr>
      <w:r>
        <w:rPr>
          <w:rFonts w:hint="eastAsia" w:ascii="宋体" w:hAnsi="宋体" w:eastAsia="宋体" w:cs="宋体"/>
          <w:color w:val="auto"/>
          <w:sz w:val="28"/>
          <w:szCs w:val="28"/>
          <w:highlight w:val="none"/>
        </w:rPr>
        <w:t>乙方负责按照合同确定的技术标准</w:t>
      </w:r>
      <w:r>
        <w:rPr>
          <w:rFonts w:hint="eastAsia" w:ascii="宋体" w:hAnsi="宋体" w:eastAsia="宋体" w:cs="宋体"/>
          <w:color w:val="auto"/>
          <w:sz w:val="28"/>
          <w:szCs w:val="28"/>
          <w:highlight w:val="none"/>
          <w:lang w:eastAsia="zh-CN"/>
        </w:rPr>
        <w:t>提供</w:t>
      </w:r>
      <w:r>
        <w:rPr>
          <w:rFonts w:hint="eastAsia" w:ascii="宋体" w:hAnsi="宋体" w:cs="宋体"/>
          <w:color w:val="auto"/>
          <w:sz w:val="28"/>
          <w:szCs w:val="28"/>
          <w:highlight w:val="none"/>
          <w:lang w:val="en-US" w:eastAsia="zh-CN"/>
        </w:rPr>
        <w:t>货物</w:t>
      </w:r>
      <w:r>
        <w:rPr>
          <w:rFonts w:hint="eastAsia" w:ascii="宋体" w:hAnsi="宋体" w:eastAsia="宋体" w:cs="宋体"/>
          <w:color w:val="auto"/>
          <w:sz w:val="28"/>
          <w:szCs w:val="28"/>
          <w:highlight w:val="none"/>
          <w:lang w:eastAsia="zh-CN"/>
        </w:rPr>
        <w:t>及</w:t>
      </w:r>
      <w:r>
        <w:rPr>
          <w:rFonts w:hint="eastAsia" w:ascii="宋体" w:hAnsi="宋体" w:eastAsia="宋体" w:cs="宋体"/>
          <w:color w:val="auto"/>
          <w:sz w:val="28"/>
          <w:szCs w:val="28"/>
          <w:highlight w:val="none"/>
        </w:rPr>
        <w:t>服务，确保各项</w:t>
      </w:r>
      <w:r>
        <w:rPr>
          <w:rFonts w:hint="eastAsia" w:ascii="宋体" w:hAnsi="宋体" w:eastAsia="宋体" w:cs="宋体"/>
          <w:color w:val="auto"/>
          <w:sz w:val="28"/>
          <w:szCs w:val="28"/>
          <w:highlight w:val="none"/>
          <w:lang w:eastAsia="zh-CN"/>
        </w:rPr>
        <w:t>技术规格、参数、质量等</w:t>
      </w:r>
      <w:r>
        <w:rPr>
          <w:rFonts w:hint="eastAsia" w:ascii="宋体" w:hAnsi="宋体" w:eastAsia="宋体" w:cs="宋体"/>
          <w:color w:val="auto"/>
          <w:sz w:val="28"/>
          <w:szCs w:val="28"/>
          <w:highlight w:val="none"/>
        </w:rPr>
        <w:t>达到甲方要求</w:t>
      </w:r>
      <w:r>
        <w:rPr>
          <w:rFonts w:hint="eastAsia" w:ascii="宋体" w:hAnsi="宋体" w:cs="宋体"/>
          <w:color w:val="auto"/>
          <w:sz w:val="28"/>
          <w:szCs w:val="28"/>
          <w:highlight w:val="none"/>
          <w:lang w:val="en-US" w:eastAsia="zh-CN"/>
        </w:rPr>
        <w:t>。</w:t>
      </w:r>
      <w:r>
        <w:rPr>
          <w:rFonts w:hint="eastAsia" w:ascii="宋体" w:hAnsi="宋体" w:cs="宋体"/>
          <w:color w:val="auto"/>
          <w:sz w:val="28"/>
          <w:szCs w:val="28"/>
          <w:highlight w:val="none"/>
        </w:rPr>
        <w:t xml:space="preserve"> </w:t>
      </w:r>
    </w:p>
    <w:p w14:paraId="142C318C">
      <w:pPr>
        <w:widowControl/>
        <w:snapToGrid w:val="0"/>
        <w:spacing w:line="360" w:lineRule="auto"/>
        <w:ind w:firstLine="560" w:firstLineChars="200"/>
        <w:outlineLvl w:val="1"/>
        <w:rPr>
          <w:rFonts w:ascii="宋体" w:hAnsi="宋体" w:cs="宋体"/>
          <w:sz w:val="28"/>
          <w:szCs w:val="28"/>
        </w:rPr>
      </w:pPr>
      <w:bookmarkStart w:id="19" w:name="_Toc25197"/>
      <w:bookmarkStart w:id="20" w:name="_Toc1070"/>
      <w:bookmarkStart w:id="21" w:name="_Toc31920"/>
      <w:bookmarkStart w:id="22" w:name="_Toc3345"/>
      <w:bookmarkStart w:id="23" w:name="_Toc30902"/>
      <w:bookmarkStart w:id="24" w:name="_Toc574"/>
      <w:bookmarkStart w:id="25" w:name="_Toc23593"/>
      <w:bookmarkStart w:id="26" w:name="_Toc660"/>
      <w:bookmarkStart w:id="27" w:name="_Toc26975"/>
      <w:bookmarkStart w:id="28" w:name="_Toc1793"/>
      <w:bookmarkStart w:id="29" w:name="_Toc27995"/>
      <w:bookmarkStart w:id="30" w:name="_Toc7550"/>
      <w:bookmarkStart w:id="31" w:name="_Toc3256"/>
      <w:bookmarkStart w:id="32" w:name="_Toc9768"/>
      <w:bookmarkStart w:id="33" w:name="_Toc10996"/>
      <w:bookmarkStart w:id="34" w:name="_Toc28498"/>
      <w:r>
        <w:rPr>
          <w:rFonts w:hint="eastAsia" w:ascii="宋体" w:hAnsi="宋体" w:cs="宋体"/>
          <w:sz w:val="28"/>
          <w:szCs w:val="28"/>
        </w:rPr>
        <w:t>二、合同价格</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1CA65069">
      <w:pPr>
        <w:widowControl/>
        <w:snapToGrid w:val="0"/>
        <w:spacing w:line="360" w:lineRule="auto"/>
        <w:ind w:firstLine="560" w:firstLineChars="200"/>
        <w:rPr>
          <w:rFonts w:ascii="宋体" w:hAnsi="宋体" w:cs="宋体"/>
          <w:sz w:val="28"/>
          <w:szCs w:val="28"/>
        </w:rPr>
      </w:pPr>
      <w:r>
        <w:rPr>
          <w:rFonts w:hint="eastAsia" w:ascii="宋体" w:hAnsi="宋体" w:cs="宋体"/>
          <w:sz w:val="28"/>
          <w:szCs w:val="28"/>
        </w:rPr>
        <w:t>合同总价：人民币</w:t>
      </w:r>
      <w:r>
        <w:rPr>
          <w:rFonts w:hint="eastAsia" w:ascii="宋体" w:hAnsi="宋体" w:cs="宋体"/>
          <w:sz w:val="28"/>
          <w:szCs w:val="28"/>
          <w:u w:val="single"/>
        </w:rPr>
        <w:t xml:space="preserve">       </w:t>
      </w:r>
      <w:r>
        <w:rPr>
          <w:rFonts w:hint="eastAsia" w:ascii="宋体" w:hAnsi="宋体" w:cs="宋体"/>
          <w:sz w:val="28"/>
          <w:szCs w:val="28"/>
        </w:rPr>
        <w:t>元整（¥</w:t>
      </w:r>
      <w:r>
        <w:rPr>
          <w:rFonts w:hint="eastAsia" w:ascii="宋体" w:hAnsi="宋体" w:cs="宋体"/>
          <w:sz w:val="28"/>
          <w:szCs w:val="28"/>
          <w:u w:val="single"/>
        </w:rPr>
        <w:t xml:space="preserve">         </w:t>
      </w:r>
      <w:r>
        <w:rPr>
          <w:rFonts w:hint="eastAsia" w:ascii="宋体" w:hAnsi="宋体" w:cs="宋体"/>
          <w:sz w:val="28"/>
          <w:szCs w:val="28"/>
        </w:rPr>
        <w:t xml:space="preserve">元） </w:t>
      </w:r>
    </w:p>
    <w:p w14:paraId="5EC6B9CD">
      <w:pPr>
        <w:pStyle w:val="7"/>
        <w:tabs>
          <w:tab w:val="left" w:pos="1302"/>
        </w:tabs>
        <w:spacing w:line="360" w:lineRule="auto"/>
        <w:ind w:firstLine="560"/>
        <w:rPr>
          <w:rFonts w:hint="eastAsia" w:ascii="宋体" w:hAnsi="宋体" w:cs="宋体"/>
          <w:sz w:val="28"/>
          <w:szCs w:val="28"/>
        </w:rPr>
      </w:pPr>
      <w:r>
        <w:rPr>
          <w:rFonts w:hint="eastAsia" w:ascii="宋体" w:hAnsi="宋体" w:cs="宋体"/>
          <w:sz w:val="28"/>
          <w:szCs w:val="28"/>
        </w:rPr>
        <w:t>说明：报价应包含与本项目相关的所有费用。</w:t>
      </w:r>
    </w:p>
    <w:p w14:paraId="521B164F">
      <w:pPr>
        <w:widowControl/>
        <w:snapToGrid w:val="0"/>
        <w:spacing w:line="360" w:lineRule="auto"/>
        <w:ind w:firstLine="560" w:firstLineChars="200"/>
        <w:outlineLvl w:val="1"/>
        <w:rPr>
          <w:rFonts w:ascii="宋体" w:hAnsi="宋体" w:cs="宋体"/>
          <w:sz w:val="28"/>
          <w:szCs w:val="28"/>
        </w:rPr>
      </w:pPr>
      <w:bookmarkStart w:id="35" w:name="_Toc21146"/>
      <w:bookmarkStart w:id="36" w:name="_Toc20402"/>
      <w:bookmarkStart w:id="37" w:name="_Toc25530"/>
      <w:bookmarkStart w:id="38" w:name="_Toc29379"/>
      <w:bookmarkStart w:id="39" w:name="_Toc30977"/>
      <w:bookmarkStart w:id="40" w:name="_Toc12227"/>
      <w:bookmarkStart w:id="41" w:name="_Toc13143"/>
      <w:bookmarkStart w:id="42" w:name="_Toc24017"/>
      <w:bookmarkStart w:id="43" w:name="_Toc23174"/>
      <w:bookmarkStart w:id="44" w:name="_Toc30008"/>
      <w:bookmarkStart w:id="45" w:name="_Toc5648"/>
      <w:bookmarkStart w:id="46" w:name="_Toc20510"/>
      <w:bookmarkStart w:id="47" w:name="_Toc26631"/>
      <w:bookmarkStart w:id="48" w:name="_Toc4923"/>
      <w:bookmarkStart w:id="49" w:name="_Toc6178"/>
      <w:r>
        <w:rPr>
          <w:rFonts w:hint="eastAsia" w:ascii="宋体" w:hAnsi="宋体" w:cs="宋体"/>
          <w:sz w:val="28"/>
          <w:szCs w:val="28"/>
        </w:rPr>
        <w:t>三、</w:t>
      </w:r>
      <w:r>
        <w:rPr>
          <w:rFonts w:hint="eastAsia" w:ascii="宋体" w:hAnsi="宋体" w:cs="宋体"/>
          <w:sz w:val="28"/>
          <w:szCs w:val="28"/>
          <w:lang w:eastAsia="zh-CN"/>
        </w:rPr>
        <w:t>交付期</w:t>
      </w:r>
      <w:r>
        <w:rPr>
          <w:rFonts w:hint="eastAsia" w:ascii="宋体" w:hAnsi="宋体" w:cs="宋体"/>
          <w:sz w:val="28"/>
          <w:szCs w:val="28"/>
        </w:rPr>
        <w:t>期限</w:t>
      </w:r>
      <w:bookmarkEnd w:id="35"/>
      <w:bookmarkEnd w:id="36"/>
      <w:bookmarkEnd w:id="37"/>
      <w:bookmarkEnd w:id="38"/>
      <w:bookmarkEnd w:id="39"/>
      <w:bookmarkEnd w:id="40"/>
      <w:bookmarkEnd w:id="41"/>
      <w:bookmarkEnd w:id="42"/>
      <w:bookmarkEnd w:id="43"/>
    </w:p>
    <w:p w14:paraId="01D62DFB">
      <w:pPr>
        <w:keepNext w:val="0"/>
        <w:keepLines w:val="0"/>
        <w:pageBreakBefore w:val="0"/>
        <w:widowControl w:val="0"/>
        <w:kinsoku/>
        <w:wordWrap/>
        <w:overflowPunct/>
        <w:topLinePunct w:val="0"/>
        <w:autoSpaceDE/>
        <w:autoSpaceDN/>
        <w:bidi w:val="0"/>
        <w:adjustRightInd w:val="0"/>
        <w:snapToGrid/>
        <w:spacing w:line="360" w:lineRule="auto"/>
        <w:ind w:firstLine="560" w:firstLineChars="200"/>
        <w:jc w:val="left"/>
        <w:textAlignment w:val="auto"/>
        <w:rPr>
          <w:rFonts w:hint="eastAsia" w:ascii="宋体" w:hAnsi="宋体" w:cs="宋体"/>
          <w:color w:val="auto"/>
          <w:sz w:val="28"/>
          <w:szCs w:val="28"/>
          <w:highlight w:val="none"/>
          <w:lang w:val="en-US" w:eastAsia="zh-CN"/>
        </w:rPr>
      </w:pPr>
      <w:r>
        <w:rPr>
          <w:rFonts w:hint="eastAsia" w:ascii="宋体" w:hAnsi="宋体" w:eastAsia="宋体" w:cs="宋体"/>
          <w:color w:val="auto"/>
          <w:sz w:val="28"/>
          <w:szCs w:val="28"/>
          <w:highlight w:val="none"/>
        </w:rPr>
        <w:t>1、</w:t>
      </w:r>
      <w:r>
        <w:rPr>
          <w:rFonts w:hint="eastAsia" w:ascii="宋体" w:hAnsi="宋体" w:cs="宋体"/>
          <w:color w:val="auto"/>
          <w:sz w:val="28"/>
          <w:szCs w:val="28"/>
          <w:highlight w:val="none"/>
          <w:lang w:eastAsia="zh-CN"/>
        </w:rPr>
        <w:t>交付期</w:t>
      </w:r>
      <w:r>
        <w:rPr>
          <w:rFonts w:hint="eastAsia" w:ascii="宋体" w:hAnsi="宋体" w:eastAsia="宋体" w:cs="宋体"/>
          <w:color w:val="auto"/>
          <w:sz w:val="28"/>
          <w:szCs w:val="28"/>
          <w:highlight w:val="none"/>
        </w:rPr>
        <w:t>：自合同签订生效之日起30个日历日完成供货、安装及调试</w:t>
      </w:r>
    </w:p>
    <w:p w14:paraId="57C11D25">
      <w:pPr>
        <w:keepNext w:val="0"/>
        <w:keepLines w:val="0"/>
        <w:pageBreakBefore w:val="0"/>
        <w:widowControl w:val="0"/>
        <w:kinsoku/>
        <w:wordWrap/>
        <w:overflowPunct/>
        <w:topLinePunct w:val="0"/>
        <w:autoSpaceDE/>
        <w:autoSpaceDN/>
        <w:bidi w:val="0"/>
        <w:adjustRightInd w:val="0"/>
        <w:snapToGrid/>
        <w:spacing w:line="360" w:lineRule="auto"/>
        <w:ind w:firstLine="560" w:firstLineChars="200"/>
        <w:jc w:val="left"/>
        <w:textAlignment w:val="auto"/>
        <w:rPr>
          <w:rFonts w:hint="eastAsia" w:ascii="宋体" w:hAnsi="宋体" w:cs="宋体"/>
          <w:sz w:val="28"/>
          <w:szCs w:val="28"/>
          <w:highlight w:val="none"/>
          <w:lang w:val="en-US" w:eastAsia="zh-CN"/>
        </w:rPr>
      </w:pPr>
      <w:r>
        <w:rPr>
          <w:rFonts w:hint="eastAsia" w:ascii="宋体" w:hAnsi="宋体" w:eastAsia="宋体" w:cs="宋体"/>
          <w:color w:val="auto"/>
          <w:sz w:val="28"/>
          <w:szCs w:val="28"/>
          <w:highlight w:val="none"/>
          <w:lang w:eastAsia="zh-CN"/>
        </w:rPr>
        <w:t>2、</w:t>
      </w:r>
      <w:r>
        <w:rPr>
          <w:rFonts w:hint="eastAsia" w:ascii="宋体" w:hAnsi="宋体" w:cs="宋体"/>
          <w:color w:val="auto"/>
          <w:sz w:val="28"/>
          <w:szCs w:val="28"/>
          <w:highlight w:val="none"/>
          <w:lang w:eastAsia="zh-CN"/>
        </w:rPr>
        <w:t>交付地点</w:t>
      </w:r>
      <w:r>
        <w:rPr>
          <w:rFonts w:hint="eastAsia" w:ascii="宋体" w:hAnsi="宋体" w:eastAsia="宋体" w:cs="宋体"/>
          <w:color w:val="auto"/>
          <w:sz w:val="28"/>
          <w:szCs w:val="28"/>
          <w:highlight w:val="none"/>
          <w:lang w:eastAsia="zh-CN"/>
        </w:rPr>
        <w:t>：</w:t>
      </w:r>
      <w:r>
        <w:rPr>
          <w:rFonts w:hint="eastAsia" w:ascii="宋体" w:hAnsi="宋体" w:cs="宋体"/>
          <w:sz w:val="28"/>
          <w:szCs w:val="28"/>
          <w:highlight w:val="none"/>
          <w:lang w:val="en-US" w:eastAsia="zh-CN"/>
        </w:rPr>
        <w:t>采购人指定地点</w:t>
      </w:r>
    </w:p>
    <w:p w14:paraId="3E976EEF">
      <w:pPr>
        <w:keepNext w:val="0"/>
        <w:keepLines w:val="0"/>
        <w:pageBreakBefore w:val="0"/>
        <w:widowControl w:val="0"/>
        <w:kinsoku/>
        <w:wordWrap/>
        <w:overflowPunct/>
        <w:topLinePunct w:val="0"/>
        <w:autoSpaceDE/>
        <w:autoSpaceDN/>
        <w:bidi w:val="0"/>
        <w:adjustRightInd w:val="0"/>
        <w:snapToGrid/>
        <w:spacing w:line="360" w:lineRule="auto"/>
        <w:ind w:firstLine="560" w:firstLineChars="200"/>
        <w:jc w:val="left"/>
        <w:textAlignment w:val="auto"/>
        <w:rPr>
          <w:rFonts w:hint="eastAsia" w:ascii="宋体" w:hAnsi="宋体" w:cs="宋体"/>
          <w:sz w:val="28"/>
          <w:szCs w:val="28"/>
          <w:highlight w:val="none"/>
        </w:rPr>
      </w:pPr>
      <w:r>
        <w:rPr>
          <w:rFonts w:hint="eastAsia" w:ascii="宋体" w:hAnsi="宋体" w:cs="宋体"/>
          <w:sz w:val="28"/>
          <w:szCs w:val="28"/>
          <w:highlight w:val="none"/>
          <w:lang w:val="en-US" w:eastAsia="zh-CN"/>
        </w:rPr>
        <w:t>3、质保期：3年</w:t>
      </w:r>
      <w:r>
        <w:rPr>
          <w:rFonts w:hint="eastAsia" w:ascii="宋体" w:hAnsi="宋体" w:cs="宋体"/>
          <w:sz w:val="28"/>
          <w:szCs w:val="28"/>
          <w:highlight w:val="none"/>
        </w:rPr>
        <w:t xml:space="preserve"> </w:t>
      </w:r>
    </w:p>
    <w:p w14:paraId="3D9C26BA">
      <w:pPr>
        <w:keepNext w:val="0"/>
        <w:keepLines w:val="0"/>
        <w:pageBreakBefore w:val="0"/>
        <w:widowControl w:val="0"/>
        <w:kinsoku/>
        <w:wordWrap/>
        <w:overflowPunct/>
        <w:topLinePunct w:val="0"/>
        <w:autoSpaceDE/>
        <w:autoSpaceDN/>
        <w:bidi w:val="0"/>
        <w:adjustRightInd w:val="0"/>
        <w:snapToGrid/>
        <w:spacing w:line="360" w:lineRule="auto"/>
        <w:ind w:firstLine="560" w:firstLineChars="200"/>
        <w:jc w:val="left"/>
        <w:textAlignment w:val="auto"/>
        <w:outlineLvl w:val="1"/>
        <w:rPr>
          <w:rFonts w:hint="eastAsia" w:ascii="宋体" w:hAnsi="宋体" w:cs="宋体"/>
          <w:sz w:val="28"/>
          <w:szCs w:val="28"/>
          <w:highlight w:val="none"/>
          <w:lang w:val="zh-CN"/>
        </w:rPr>
      </w:pPr>
      <w:bookmarkStart w:id="50" w:name="_Toc10554"/>
      <w:bookmarkStart w:id="51" w:name="_Toc9271"/>
      <w:r>
        <w:rPr>
          <w:rFonts w:hint="eastAsia" w:ascii="宋体" w:hAnsi="宋体" w:cs="宋体"/>
          <w:sz w:val="28"/>
          <w:szCs w:val="28"/>
          <w:highlight w:val="none"/>
          <w:lang w:val="zh-CN"/>
        </w:rPr>
        <w:t>四、付款方式</w:t>
      </w:r>
      <w:bookmarkEnd w:id="50"/>
      <w:bookmarkEnd w:id="51"/>
    </w:p>
    <w:p w14:paraId="75C94CB4">
      <w:pPr>
        <w:keepNext w:val="0"/>
        <w:keepLines w:val="0"/>
        <w:pageBreakBefore w:val="0"/>
        <w:widowControl w:val="0"/>
        <w:kinsoku/>
        <w:wordWrap/>
        <w:overflowPunct/>
        <w:topLinePunct w:val="0"/>
        <w:autoSpaceDE/>
        <w:autoSpaceDN/>
        <w:bidi w:val="0"/>
        <w:adjustRightInd w:val="0"/>
        <w:snapToGrid/>
        <w:spacing w:line="360" w:lineRule="auto"/>
        <w:ind w:firstLine="560" w:firstLineChars="200"/>
        <w:jc w:val="left"/>
        <w:textAlignment w:val="auto"/>
        <w:outlineLvl w:val="1"/>
        <w:rPr>
          <w:rFonts w:hint="eastAsia" w:ascii="宋体" w:hAnsi="宋体" w:eastAsia="宋体" w:cs="宋体"/>
          <w:b w:val="0"/>
          <w:bCs w:val="0"/>
          <w:kern w:val="2"/>
          <w:sz w:val="28"/>
          <w:szCs w:val="28"/>
          <w:highlight w:val="none"/>
          <w:lang w:val="en-US" w:eastAsia="zh-CN" w:bidi="ar-SA"/>
        </w:rPr>
      </w:pPr>
      <w:r>
        <w:rPr>
          <w:rFonts w:hint="eastAsia" w:ascii="宋体" w:hAnsi="宋体" w:eastAsia="宋体" w:cs="宋体"/>
          <w:b w:val="0"/>
          <w:bCs w:val="0"/>
          <w:kern w:val="2"/>
          <w:sz w:val="28"/>
          <w:szCs w:val="28"/>
          <w:highlight w:val="none"/>
          <w:lang w:val="en-US" w:eastAsia="zh-CN" w:bidi="ar-SA"/>
        </w:rPr>
        <w:t>付款条件说明：全部产品交货至指定地点并验收合格交付使用 ，达到付款条件起 30 日内，支付合同总金额的 100.00%。</w:t>
      </w:r>
    </w:p>
    <w:bookmarkEnd w:id="44"/>
    <w:bookmarkEnd w:id="45"/>
    <w:bookmarkEnd w:id="46"/>
    <w:bookmarkEnd w:id="47"/>
    <w:bookmarkEnd w:id="48"/>
    <w:bookmarkEnd w:id="49"/>
    <w:p w14:paraId="44178FE1">
      <w:pPr>
        <w:widowControl/>
        <w:snapToGrid w:val="0"/>
        <w:spacing w:line="360" w:lineRule="auto"/>
        <w:ind w:firstLine="560" w:firstLineChars="200"/>
        <w:outlineLvl w:val="1"/>
        <w:rPr>
          <w:rFonts w:ascii="宋体" w:hAnsi="宋体" w:cs="宋体"/>
          <w:sz w:val="28"/>
          <w:szCs w:val="28"/>
        </w:rPr>
      </w:pPr>
      <w:bookmarkStart w:id="52" w:name="_Toc17300"/>
      <w:bookmarkStart w:id="53" w:name="_Toc30352"/>
      <w:bookmarkStart w:id="54" w:name="_Toc9630"/>
      <w:bookmarkStart w:id="55" w:name="_Toc7250"/>
      <w:bookmarkStart w:id="56" w:name="_Toc30893"/>
      <w:bookmarkStart w:id="57" w:name="_Toc18308"/>
      <w:bookmarkStart w:id="58" w:name="_Toc23334"/>
      <w:r>
        <w:rPr>
          <w:rFonts w:hint="eastAsia" w:ascii="宋体" w:hAnsi="宋体" w:cs="宋体"/>
          <w:sz w:val="28"/>
          <w:szCs w:val="28"/>
          <w:lang w:eastAsia="zh-CN"/>
        </w:rPr>
        <w:t>五</w:t>
      </w:r>
      <w:r>
        <w:rPr>
          <w:rFonts w:hint="eastAsia" w:ascii="宋体" w:hAnsi="宋体" w:cs="宋体"/>
          <w:sz w:val="28"/>
          <w:szCs w:val="28"/>
        </w:rPr>
        <w:t>、质量</w:t>
      </w:r>
      <w:bookmarkEnd w:id="52"/>
      <w:bookmarkEnd w:id="53"/>
      <w:bookmarkEnd w:id="54"/>
      <w:bookmarkEnd w:id="55"/>
      <w:bookmarkEnd w:id="56"/>
      <w:bookmarkEnd w:id="57"/>
      <w:r>
        <w:rPr>
          <w:rFonts w:hint="eastAsia" w:ascii="宋体" w:hAnsi="宋体" w:cs="宋体"/>
          <w:sz w:val="28"/>
          <w:szCs w:val="28"/>
        </w:rPr>
        <w:t>要求</w:t>
      </w:r>
      <w:bookmarkEnd w:id="58"/>
    </w:p>
    <w:p w14:paraId="40CB6931">
      <w:pPr>
        <w:widowControl/>
        <w:snapToGrid w:val="0"/>
        <w:spacing w:line="360" w:lineRule="auto"/>
        <w:ind w:firstLine="560" w:firstLineChars="200"/>
        <w:rPr>
          <w:rFonts w:ascii="宋体" w:hAnsi="宋体" w:cs="宋体"/>
          <w:sz w:val="28"/>
          <w:szCs w:val="28"/>
        </w:rPr>
      </w:pPr>
      <w:bookmarkStart w:id="59" w:name="_Toc28927"/>
      <w:bookmarkStart w:id="60" w:name="_Toc9089"/>
      <w:bookmarkStart w:id="61" w:name="_Toc23664"/>
      <w:bookmarkStart w:id="62" w:name="_Toc9414"/>
      <w:bookmarkStart w:id="63" w:name="_Toc26923"/>
      <w:r>
        <w:rPr>
          <w:rFonts w:hint="eastAsia" w:ascii="宋体" w:hAnsi="宋体" w:cs="宋体"/>
          <w:sz w:val="28"/>
          <w:szCs w:val="28"/>
        </w:rPr>
        <w:t>（一）质量符合企业、行业、国家规定及</w:t>
      </w:r>
      <w:r>
        <w:rPr>
          <w:rFonts w:hint="eastAsia" w:ascii="宋体" w:hAnsi="宋体" w:cs="宋体"/>
          <w:sz w:val="28"/>
          <w:szCs w:val="28"/>
          <w:lang w:eastAsia="zh-CN"/>
        </w:rPr>
        <w:t>磋商文件</w:t>
      </w:r>
      <w:r>
        <w:rPr>
          <w:rFonts w:hint="eastAsia" w:ascii="宋体" w:hAnsi="宋体" w:cs="宋体"/>
          <w:sz w:val="28"/>
          <w:szCs w:val="28"/>
        </w:rPr>
        <w:t>相关要求。</w:t>
      </w:r>
    </w:p>
    <w:p w14:paraId="5880A91B">
      <w:pPr>
        <w:widowControl/>
        <w:snapToGrid w:val="0"/>
        <w:spacing w:line="360" w:lineRule="auto"/>
        <w:ind w:firstLine="560" w:firstLineChars="200"/>
        <w:rPr>
          <w:rFonts w:ascii="宋体" w:hAnsi="宋体" w:cs="宋体"/>
          <w:sz w:val="28"/>
          <w:szCs w:val="28"/>
        </w:rPr>
      </w:pPr>
      <w:r>
        <w:rPr>
          <w:rFonts w:hint="eastAsia" w:ascii="宋体" w:hAnsi="宋体" w:cs="宋体"/>
          <w:sz w:val="28"/>
          <w:szCs w:val="28"/>
        </w:rPr>
        <w:t>（二）技术专利等均应符合我国有关法律及行业标准，凡因以上问题与第三方发生的任何纠纷均与甲方无关。</w:t>
      </w:r>
    </w:p>
    <w:p w14:paraId="0EEA09CF">
      <w:pPr>
        <w:widowControl/>
        <w:snapToGrid w:val="0"/>
        <w:spacing w:line="360" w:lineRule="auto"/>
        <w:ind w:firstLine="560" w:firstLineChars="200"/>
        <w:outlineLvl w:val="1"/>
        <w:rPr>
          <w:rFonts w:ascii="宋体" w:hAnsi="宋体" w:cs="宋体"/>
          <w:sz w:val="28"/>
          <w:szCs w:val="28"/>
        </w:rPr>
      </w:pPr>
      <w:bookmarkStart w:id="64" w:name="_Toc12828"/>
      <w:r>
        <w:rPr>
          <w:rFonts w:hint="eastAsia" w:ascii="宋体" w:hAnsi="宋体" w:cs="宋体"/>
          <w:sz w:val="28"/>
          <w:szCs w:val="28"/>
          <w:lang w:eastAsia="zh-CN"/>
        </w:rPr>
        <w:t>六</w:t>
      </w:r>
      <w:r>
        <w:rPr>
          <w:rFonts w:hint="eastAsia" w:ascii="宋体" w:hAnsi="宋体" w:cs="宋体"/>
          <w:sz w:val="28"/>
          <w:szCs w:val="28"/>
        </w:rPr>
        <w:t>、技术</w:t>
      </w:r>
      <w:bookmarkEnd w:id="59"/>
      <w:bookmarkEnd w:id="60"/>
      <w:bookmarkEnd w:id="61"/>
      <w:bookmarkEnd w:id="62"/>
      <w:bookmarkEnd w:id="63"/>
      <w:r>
        <w:rPr>
          <w:rFonts w:hint="eastAsia" w:ascii="宋体" w:hAnsi="宋体" w:cs="宋体"/>
          <w:sz w:val="28"/>
          <w:szCs w:val="28"/>
        </w:rPr>
        <w:t>要求</w:t>
      </w:r>
      <w:bookmarkEnd w:id="64"/>
    </w:p>
    <w:p w14:paraId="444ED9D8">
      <w:pPr>
        <w:widowControl/>
        <w:snapToGrid w:val="0"/>
        <w:spacing w:line="360" w:lineRule="auto"/>
        <w:ind w:firstLine="560" w:firstLineChars="200"/>
        <w:outlineLvl w:val="1"/>
        <w:rPr>
          <w:rFonts w:hint="eastAsia" w:ascii="宋体" w:hAnsi="宋体" w:eastAsia="宋体" w:cs="宋体"/>
          <w:color w:val="auto"/>
          <w:sz w:val="28"/>
          <w:szCs w:val="28"/>
          <w:highlight w:val="none"/>
          <w:lang w:eastAsia="zh-CN"/>
        </w:rPr>
      </w:pPr>
      <w:bookmarkStart w:id="65" w:name="_Toc17325"/>
      <w:bookmarkStart w:id="66" w:name="_Toc16064"/>
      <w:bookmarkStart w:id="67" w:name="_Toc13587"/>
      <w:bookmarkStart w:id="68" w:name="_Toc27177"/>
      <w:bookmarkStart w:id="69" w:name="_Toc8083"/>
      <w:bookmarkStart w:id="70" w:name="_Toc5014"/>
      <w:bookmarkStart w:id="71" w:name="_Toc19074"/>
      <w:bookmarkStart w:id="72" w:name="_Toc9865"/>
      <w:bookmarkStart w:id="73" w:name="_Toc12502"/>
      <w:bookmarkStart w:id="74" w:name="_Toc29149"/>
      <w:bookmarkStart w:id="75" w:name="_Toc20301"/>
      <w:bookmarkStart w:id="76" w:name="_Toc5440"/>
      <w:bookmarkStart w:id="77" w:name="_Toc21261"/>
      <w:bookmarkStart w:id="78" w:name="_Toc18659"/>
      <w:bookmarkStart w:id="79" w:name="_Toc25783"/>
      <w:bookmarkStart w:id="80" w:name="_Toc3584"/>
      <w:bookmarkStart w:id="81" w:name="_Toc27419"/>
      <w:bookmarkStart w:id="82" w:name="_Toc14189"/>
      <w:bookmarkStart w:id="83" w:name="_Toc21103"/>
      <w:r>
        <w:rPr>
          <w:rFonts w:hint="eastAsia" w:ascii="宋体" w:hAnsi="宋体" w:eastAsia="宋体" w:cs="宋体"/>
          <w:color w:val="auto"/>
          <w:sz w:val="28"/>
          <w:szCs w:val="28"/>
          <w:highlight w:val="none"/>
          <w:lang w:eastAsia="zh-CN"/>
        </w:rPr>
        <w:t>根据本项目</w:t>
      </w:r>
      <w:r>
        <w:rPr>
          <w:rFonts w:hint="eastAsia" w:ascii="宋体" w:hAnsi="宋体" w:eastAsia="宋体" w:cs="宋体"/>
          <w:color w:val="auto"/>
          <w:sz w:val="28"/>
          <w:szCs w:val="28"/>
          <w:highlight w:val="none"/>
          <w:lang w:val="en-US" w:eastAsia="zh-CN"/>
        </w:rPr>
        <w:t>采购要求</w:t>
      </w:r>
      <w:r>
        <w:rPr>
          <w:rFonts w:hint="eastAsia" w:ascii="宋体" w:hAnsi="宋体" w:eastAsia="宋体" w:cs="宋体"/>
          <w:color w:val="auto"/>
          <w:sz w:val="28"/>
          <w:szCs w:val="28"/>
          <w:highlight w:val="none"/>
          <w:lang w:eastAsia="zh-CN"/>
        </w:rPr>
        <w:t>、工艺要求，提供满足采购人要求的服务</w:t>
      </w:r>
      <w:r>
        <w:rPr>
          <w:rFonts w:hint="eastAsia" w:ascii="宋体" w:hAnsi="宋体" w:cs="宋体"/>
          <w:color w:val="auto"/>
          <w:sz w:val="28"/>
          <w:szCs w:val="28"/>
          <w:highlight w:val="none"/>
          <w:lang w:eastAsia="zh-CN"/>
        </w:rPr>
        <w:t>或货物</w:t>
      </w:r>
      <w:bookmarkStart w:id="111" w:name="_GoBack"/>
      <w:bookmarkEnd w:id="111"/>
      <w:r>
        <w:rPr>
          <w:rFonts w:hint="eastAsia" w:ascii="宋体" w:hAnsi="宋体" w:eastAsia="宋体" w:cs="宋体"/>
          <w:color w:val="auto"/>
          <w:sz w:val="28"/>
          <w:szCs w:val="28"/>
          <w:highlight w:val="none"/>
          <w:lang w:eastAsia="zh-CN"/>
        </w:rPr>
        <w:t>。</w:t>
      </w:r>
      <w:bookmarkEnd w:id="65"/>
      <w:bookmarkEnd w:id="66"/>
      <w:bookmarkEnd w:id="67"/>
      <w:bookmarkEnd w:id="68"/>
      <w:bookmarkEnd w:id="69"/>
      <w:bookmarkEnd w:id="70"/>
      <w:bookmarkEnd w:id="71"/>
    </w:p>
    <w:p w14:paraId="20E1CE63">
      <w:pPr>
        <w:widowControl/>
        <w:snapToGrid w:val="0"/>
        <w:spacing w:line="360" w:lineRule="auto"/>
        <w:ind w:firstLine="560" w:firstLineChars="200"/>
        <w:outlineLvl w:val="1"/>
        <w:rPr>
          <w:rFonts w:ascii="宋体" w:hAnsi="宋体" w:cs="宋体"/>
          <w:sz w:val="28"/>
          <w:szCs w:val="28"/>
        </w:rPr>
      </w:pPr>
      <w:bookmarkStart w:id="84" w:name="_Toc1030"/>
      <w:bookmarkStart w:id="85" w:name="_Toc29824"/>
      <w:bookmarkStart w:id="86" w:name="_Toc17454"/>
      <w:bookmarkStart w:id="87" w:name="_Toc7376"/>
      <w:r>
        <w:rPr>
          <w:rFonts w:hint="eastAsia" w:ascii="宋体" w:hAnsi="宋体" w:cs="宋体"/>
          <w:sz w:val="28"/>
          <w:szCs w:val="28"/>
          <w:lang w:eastAsia="zh-CN"/>
        </w:rPr>
        <w:t>七</w:t>
      </w:r>
      <w:r>
        <w:rPr>
          <w:rFonts w:hint="eastAsia" w:ascii="宋体" w:hAnsi="宋体" w:cs="宋体"/>
          <w:sz w:val="28"/>
          <w:szCs w:val="28"/>
        </w:rPr>
        <w:t>、违约责任</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4656E5AB">
      <w:pPr>
        <w:widowControl/>
        <w:snapToGrid w:val="0"/>
        <w:spacing w:line="360" w:lineRule="auto"/>
        <w:ind w:firstLine="560" w:firstLineChars="200"/>
        <w:rPr>
          <w:rFonts w:hint="eastAsia" w:ascii="宋体" w:hAnsi="宋体" w:cs="宋体"/>
          <w:sz w:val="28"/>
          <w:szCs w:val="28"/>
        </w:rPr>
      </w:pPr>
      <w:r>
        <w:rPr>
          <w:rFonts w:hint="eastAsia" w:ascii="宋体" w:hAnsi="宋体" w:cs="宋体"/>
          <w:sz w:val="28"/>
          <w:szCs w:val="28"/>
        </w:rPr>
        <w:t xml:space="preserve">1.按《中华人民共和国民法典》中的相关条款执行。 </w:t>
      </w:r>
    </w:p>
    <w:p w14:paraId="1CA82A36">
      <w:pPr>
        <w:widowControl/>
        <w:snapToGrid w:val="0"/>
        <w:spacing w:line="360" w:lineRule="auto"/>
        <w:ind w:firstLine="560" w:firstLineChars="200"/>
        <w:rPr>
          <w:rFonts w:hint="eastAsia" w:ascii="宋体" w:hAnsi="宋体" w:cs="宋体"/>
          <w:sz w:val="28"/>
          <w:szCs w:val="28"/>
        </w:rPr>
      </w:pPr>
      <w:r>
        <w:rPr>
          <w:rFonts w:hint="eastAsia" w:ascii="宋体" w:hAnsi="宋体" w:cs="宋体"/>
          <w:sz w:val="28"/>
          <w:szCs w:val="28"/>
        </w:rPr>
        <w:t xml:space="preserve">2.乙方履约延误 </w:t>
      </w:r>
    </w:p>
    <w:p w14:paraId="4DE094B0">
      <w:pPr>
        <w:widowControl/>
        <w:snapToGrid w:val="0"/>
        <w:spacing w:line="360" w:lineRule="auto"/>
        <w:ind w:firstLine="560" w:firstLineChars="200"/>
        <w:rPr>
          <w:rFonts w:hint="eastAsia" w:ascii="宋体" w:hAnsi="宋体" w:cs="宋体"/>
          <w:sz w:val="28"/>
          <w:szCs w:val="28"/>
        </w:rPr>
      </w:pPr>
      <w:r>
        <w:rPr>
          <w:rFonts w:hint="eastAsia" w:ascii="宋体" w:hAnsi="宋体" w:cs="宋体"/>
          <w:sz w:val="28"/>
          <w:szCs w:val="28"/>
        </w:rPr>
        <w:t xml:space="preserve">2-1.如乙方事先未征得甲方同意并得到甲方的谅解而单方面延迟交货，将按违约终止合同。 </w:t>
      </w:r>
    </w:p>
    <w:p w14:paraId="3759290B">
      <w:pPr>
        <w:widowControl/>
        <w:snapToGrid w:val="0"/>
        <w:spacing w:line="360" w:lineRule="auto"/>
        <w:ind w:firstLine="560" w:firstLineChars="200"/>
        <w:rPr>
          <w:rFonts w:hint="eastAsia" w:ascii="宋体" w:hAnsi="宋体" w:cs="宋体"/>
          <w:sz w:val="28"/>
          <w:szCs w:val="28"/>
        </w:rPr>
      </w:pPr>
      <w:r>
        <w:rPr>
          <w:rFonts w:hint="eastAsia" w:ascii="宋体" w:hAnsi="宋体" w:cs="宋体"/>
          <w:sz w:val="28"/>
          <w:szCs w:val="28"/>
        </w:rPr>
        <w:t xml:space="preserve">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 </w:t>
      </w:r>
    </w:p>
    <w:p w14:paraId="0FF696BB">
      <w:pPr>
        <w:widowControl/>
        <w:snapToGrid w:val="0"/>
        <w:spacing w:line="360" w:lineRule="auto"/>
        <w:ind w:firstLine="560" w:firstLineChars="200"/>
        <w:rPr>
          <w:rFonts w:ascii="宋体" w:hAnsi="宋体" w:cs="宋体"/>
          <w:sz w:val="28"/>
          <w:szCs w:val="28"/>
        </w:rPr>
      </w:pPr>
      <w:r>
        <w:rPr>
          <w:rFonts w:hint="eastAsia" w:ascii="宋体" w:hAnsi="宋体" w:cs="宋体"/>
          <w:sz w:val="28"/>
          <w:szCs w:val="28"/>
        </w:rPr>
        <w:t>3.违约终止合同:未按合同要求提供货物或质量不能满足技术要求，甲方会同监督机构有权终止合同，对乙方违约行为进行追究，同时按政府采购法的有关规定进行相应的处罚。</w:t>
      </w:r>
    </w:p>
    <w:p w14:paraId="4A9418DF">
      <w:pPr>
        <w:widowControl/>
        <w:snapToGrid w:val="0"/>
        <w:spacing w:line="360" w:lineRule="auto"/>
        <w:ind w:firstLine="560" w:firstLineChars="200"/>
        <w:outlineLvl w:val="1"/>
        <w:rPr>
          <w:rFonts w:ascii="宋体" w:hAnsi="宋体" w:cs="宋体"/>
          <w:sz w:val="28"/>
          <w:szCs w:val="28"/>
          <w:lang w:val="zh-CN"/>
        </w:rPr>
      </w:pPr>
      <w:bookmarkStart w:id="88" w:name="_Toc12882"/>
      <w:bookmarkStart w:id="89" w:name="_Toc1732"/>
      <w:bookmarkStart w:id="90" w:name="_Toc25236"/>
      <w:bookmarkStart w:id="91" w:name="_Toc991"/>
      <w:bookmarkStart w:id="92" w:name="_Toc23862"/>
      <w:bookmarkStart w:id="93" w:name="_Toc23085"/>
      <w:bookmarkStart w:id="94" w:name="_Toc24377"/>
      <w:r>
        <w:rPr>
          <w:rFonts w:hint="eastAsia" w:ascii="宋体" w:hAnsi="宋体" w:cs="宋体"/>
          <w:sz w:val="28"/>
          <w:szCs w:val="28"/>
          <w:lang w:val="zh-CN"/>
        </w:rPr>
        <w:t>八、</w:t>
      </w:r>
      <w:bookmarkEnd w:id="88"/>
      <w:bookmarkEnd w:id="89"/>
      <w:bookmarkEnd w:id="90"/>
      <w:bookmarkEnd w:id="91"/>
      <w:bookmarkEnd w:id="92"/>
      <w:bookmarkEnd w:id="93"/>
      <w:r>
        <w:rPr>
          <w:rFonts w:hint="eastAsia" w:ascii="宋体" w:hAnsi="宋体" w:cs="宋体"/>
          <w:sz w:val="28"/>
          <w:szCs w:val="28"/>
          <w:lang w:val="zh-CN"/>
        </w:rPr>
        <w:t>验收</w:t>
      </w:r>
      <w:bookmarkEnd w:id="94"/>
    </w:p>
    <w:p w14:paraId="213F7A12">
      <w:pPr>
        <w:widowControl/>
        <w:snapToGrid w:val="0"/>
        <w:spacing w:line="360" w:lineRule="auto"/>
        <w:ind w:firstLine="560" w:firstLineChars="200"/>
        <w:outlineLvl w:val="1"/>
        <w:rPr>
          <w:rFonts w:hint="eastAsia" w:ascii="宋体" w:hAnsi="宋体" w:cs="宋体"/>
          <w:sz w:val="28"/>
          <w:szCs w:val="28"/>
          <w:lang w:eastAsia="zh-CN"/>
        </w:rPr>
      </w:pPr>
      <w:bookmarkStart w:id="95" w:name="_Toc23558"/>
      <w:bookmarkStart w:id="96" w:name="_Toc9412"/>
      <w:bookmarkStart w:id="97" w:name="_Toc9738"/>
      <w:bookmarkStart w:id="98" w:name="_Toc24825"/>
      <w:bookmarkStart w:id="99" w:name="_Toc4590"/>
      <w:bookmarkStart w:id="100" w:name="_Toc9439"/>
      <w:bookmarkStart w:id="101" w:name="_Toc21405"/>
      <w:bookmarkStart w:id="102" w:name="_Toc10938"/>
      <w:bookmarkStart w:id="103" w:name="_Toc29475"/>
      <w:bookmarkStart w:id="104" w:name="_Toc15912"/>
      <w:bookmarkStart w:id="105" w:name="_Toc21089"/>
      <w:bookmarkStart w:id="106" w:name="_Toc18947"/>
      <w:bookmarkStart w:id="107" w:name="_Toc16533"/>
      <w:bookmarkStart w:id="108" w:name="_Toc27711"/>
      <w:bookmarkStart w:id="109" w:name="_Toc16165"/>
      <w:bookmarkStart w:id="110" w:name="_Toc19261"/>
      <w:r>
        <w:rPr>
          <w:rFonts w:hint="eastAsia" w:ascii="宋体" w:hAnsi="宋体" w:cs="宋体"/>
          <w:sz w:val="28"/>
          <w:szCs w:val="28"/>
          <w:lang w:eastAsia="zh-CN"/>
        </w:rPr>
        <w:t>1、硬件设备到达甲方指定地点后，组织现场开箱请点验货。所到设备的型号和数量必须与合同一致，甲方和乙方共同签署到货验收单。未签收到货验收单的货物不得擅自开箱安装。</w:t>
      </w:r>
    </w:p>
    <w:p w14:paraId="21AAD5BB">
      <w:pPr>
        <w:widowControl/>
        <w:snapToGrid w:val="0"/>
        <w:spacing w:line="360" w:lineRule="auto"/>
        <w:ind w:firstLine="560" w:firstLineChars="200"/>
        <w:outlineLvl w:val="1"/>
        <w:rPr>
          <w:rFonts w:hint="eastAsia" w:ascii="宋体" w:hAnsi="宋体" w:cs="宋体"/>
          <w:sz w:val="28"/>
          <w:szCs w:val="28"/>
          <w:lang w:eastAsia="zh-CN"/>
        </w:rPr>
      </w:pPr>
      <w:r>
        <w:rPr>
          <w:rFonts w:hint="eastAsia" w:ascii="宋体" w:hAnsi="宋体" w:cs="宋体"/>
          <w:sz w:val="28"/>
          <w:szCs w:val="28"/>
          <w:lang w:eastAsia="zh-CN"/>
        </w:rPr>
        <w:t>2、乙方保证合同所有设备是全新的（包括零部件），其规格参数及配件不低于（符合）本项目招投标文件的要求。</w:t>
      </w:r>
    </w:p>
    <w:p w14:paraId="7ABD1B33">
      <w:pPr>
        <w:widowControl/>
        <w:snapToGrid w:val="0"/>
        <w:spacing w:line="360" w:lineRule="auto"/>
        <w:ind w:firstLine="560" w:firstLineChars="200"/>
        <w:outlineLvl w:val="1"/>
        <w:rPr>
          <w:rFonts w:hint="eastAsia" w:ascii="宋体" w:hAnsi="宋体" w:cs="宋体"/>
          <w:sz w:val="28"/>
          <w:szCs w:val="28"/>
          <w:lang w:eastAsia="zh-CN"/>
        </w:rPr>
      </w:pPr>
      <w:r>
        <w:rPr>
          <w:rFonts w:hint="eastAsia" w:ascii="宋体" w:hAnsi="宋体" w:cs="宋体"/>
          <w:sz w:val="28"/>
          <w:szCs w:val="28"/>
          <w:lang w:eastAsia="zh-CN"/>
        </w:rPr>
        <w:t>3、安装完成，乙方进行自测并形成自测报告（软硬件），出现的问题限期整改。自检最终通过后，乙方提出验收申请，甲方组织相关人员进行最终验收。</w:t>
      </w:r>
    </w:p>
    <w:p w14:paraId="6534FC5F">
      <w:pPr>
        <w:widowControl/>
        <w:snapToGrid w:val="0"/>
        <w:spacing w:line="360" w:lineRule="auto"/>
        <w:ind w:firstLine="560" w:firstLineChars="200"/>
        <w:outlineLvl w:val="1"/>
        <w:rPr>
          <w:rFonts w:hint="eastAsia" w:ascii="宋体" w:hAnsi="宋体" w:cs="宋体"/>
          <w:sz w:val="28"/>
          <w:szCs w:val="28"/>
          <w:lang w:eastAsia="zh-CN"/>
        </w:rPr>
      </w:pPr>
      <w:r>
        <w:rPr>
          <w:rFonts w:hint="eastAsia" w:ascii="宋体" w:hAnsi="宋体" w:cs="宋体"/>
          <w:sz w:val="28"/>
          <w:szCs w:val="28"/>
          <w:lang w:eastAsia="zh-CN"/>
        </w:rPr>
        <w:t>4、设备采购从通过最终验收之日起进入保修期，提供原厂保修升级。</w:t>
      </w:r>
    </w:p>
    <w:p w14:paraId="701C69F5">
      <w:pPr>
        <w:widowControl/>
        <w:snapToGrid w:val="0"/>
        <w:spacing w:line="360" w:lineRule="auto"/>
        <w:ind w:firstLine="560" w:firstLineChars="200"/>
        <w:outlineLvl w:val="1"/>
        <w:rPr>
          <w:rFonts w:hint="eastAsia" w:ascii="宋体" w:hAnsi="宋体" w:cs="宋体"/>
          <w:sz w:val="28"/>
          <w:szCs w:val="28"/>
          <w:lang w:eastAsia="zh-CN"/>
        </w:rPr>
      </w:pPr>
      <w:r>
        <w:rPr>
          <w:rFonts w:hint="eastAsia" w:ascii="宋体" w:hAnsi="宋体" w:cs="宋体"/>
          <w:sz w:val="28"/>
          <w:szCs w:val="28"/>
          <w:lang w:eastAsia="zh-CN"/>
        </w:rPr>
        <w:t>九、其他要求</w:t>
      </w:r>
    </w:p>
    <w:p w14:paraId="6653AB2D">
      <w:pPr>
        <w:widowControl/>
        <w:snapToGrid w:val="0"/>
        <w:spacing w:line="360" w:lineRule="auto"/>
        <w:ind w:firstLine="560" w:firstLineChars="200"/>
        <w:outlineLvl w:val="1"/>
        <w:rPr>
          <w:rFonts w:hint="eastAsia" w:ascii="宋体" w:hAnsi="宋体" w:cs="宋体"/>
          <w:sz w:val="28"/>
          <w:szCs w:val="28"/>
          <w:lang w:eastAsia="zh-CN"/>
        </w:rPr>
      </w:pPr>
      <w:r>
        <w:rPr>
          <w:rFonts w:hint="eastAsia" w:ascii="宋体" w:hAnsi="宋体" w:cs="宋体"/>
          <w:sz w:val="28"/>
          <w:szCs w:val="28"/>
          <w:lang w:eastAsia="zh-CN"/>
        </w:rPr>
        <w:t>1、乙方对其所提供软硬件设备、材料等负责备品配件的供应,长期提供维修服务，并提供技术咨询等服务。质保期内应无偿负责的维修和替换等工作。超出质保期只收取维修所需原设备、材料成本费用。</w:t>
      </w:r>
    </w:p>
    <w:p w14:paraId="4E6C8712">
      <w:pPr>
        <w:widowControl/>
        <w:snapToGrid w:val="0"/>
        <w:spacing w:line="360" w:lineRule="auto"/>
        <w:ind w:firstLine="560" w:firstLineChars="200"/>
        <w:outlineLvl w:val="1"/>
        <w:rPr>
          <w:rFonts w:hint="eastAsia" w:ascii="宋体" w:hAnsi="宋体" w:cs="宋体"/>
          <w:sz w:val="28"/>
          <w:szCs w:val="28"/>
          <w:lang w:eastAsia="zh-CN"/>
        </w:rPr>
      </w:pPr>
      <w:r>
        <w:rPr>
          <w:rFonts w:hint="eastAsia" w:ascii="宋体" w:hAnsi="宋体" w:cs="宋体"/>
          <w:sz w:val="28"/>
          <w:szCs w:val="28"/>
          <w:lang w:eastAsia="zh-CN"/>
        </w:rPr>
        <w:t>2、服务响应时限：7*24小时服务，提供售后服务电话（应具有：固定电话、移动电话、传真）。</w:t>
      </w:r>
    </w:p>
    <w:p w14:paraId="0A3D807D">
      <w:pPr>
        <w:widowControl/>
        <w:snapToGrid w:val="0"/>
        <w:spacing w:line="360" w:lineRule="auto"/>
        <w:ind w:firstLine="560" w:firstLineChars="200"/>
        <w:outlineLvl w:val="1"/>
        <w:rPr>
          <w:rFonts w:hint="eastAsia" w:ascii="宋体" w:hAnsi="宋体" w:cs="宋体"/>
          <w:sz w:val="28"/>
          <w:szCs w:val="28"/>
          <w:lang w:eastAsia="zh-CN"/>
        </w:rPr>
      </w:pPr>
      <w:r>
        <w:rPr>
          <w:rFonts w:hint="eastAsia" w:ascii="宋体" w:hAnsi="宋体" w:cs="宋体"/>
          <w:sz w:val="28"/>
          <w:szCs w:val="28"/>
          <w:lang w:eastAsia="zh-CN"/>
        </w:rPr>
        <w:t>3、派专人对学校提供售后服务，并每月定期对所提供的软硬件设备、材料等进行巡检，做好巡检记录。</w:t>
      </w:r>
    </w:p>
    <w:p w14:paraId="20E313BF">
      <w:pPr>
        <w:widowControl/>
        <w:snapToGrid w:val="0"/>
        <w:spacing w:line="360" w:lineRule="auto"/>
        <w:ind w:firstLine="560" w:firstLineChars="200"/>
        <w:outlineLvl w:val="1"/>
        <w:rPr>
          <w:rFonts w:hint="eastAsia" w:ascii="宋体" w:hAnsi="宋体" w:cs="宋体"/>
          <w:sz w:val="28"/>
          <w:szCs w:val="28"/>
          <w:lang w:eastAsia="zh-CN"/>
        </w:rPr>
      </w:pPr>
      <w:r>
        <w:rPr>
          <w:rFonts w:hint="eastAsia" w:ascii="宋体" w:hAnsi="宋体" w:cs="宋体"/>
          <w:sz w:val="28"/>
          <w:szCs w:val="28"/>
          <w:lang w:eastAsia="zh-CN"/>
        </w:rPr>
        <w:t>4、维修工作时间不大于24小时，更换工作时间不大于72小时。</w:t>
      </w:r>
    </w:p>
    <w:p w14:paraId="1B973CAD">
      <w:pPr>
        <w:widowControl/>
        <w:snapToGrid w:val="0"/>
        <w:spacing w:line="360" w:lineRule="auto"/>
        <w:ind w:firstLine="560" w:firstLineChars="200"/>
        <w:outlineLvl w:val="1"/>
        <w:rPr>
          <w:rFonts w:hint="eastAsia" w:ascii="宋体" w:hAnsi="宋体" w:cs="宋体"/>
          <w:sz w:val="28"/>
          <w:szCs w:val="28"/>
          <w:lang w:eastAsia="zh-CN"/>
        </w:rPr>
      </w:pPr>
      <w:r>
        <w:rPr>
          <w:rFonts w:hint="eastAsia" w:ascii="宋体" w:hAnsi="宋体" w:cs="宋体"/>
          <w:sz w:val="28"/>
          <w:szCs w:val="28"/>
          <w:lang w:eastAsia="zh-CN"/>
        </w:rPr>
        <w:t>5、若乙方未按照合同规定的售后服务要求执行，甲方有权自行选择第三方进行维护和修理，所产生的费用将从质保金中扣除。</w:t>
      </w:r>
    </w:p>
    <w:p w14:paraId="5924B565">
      <w:pPr>
        <w:widowControl/>
        <w:snapToGrid w:val="0"/>
        <w:spacing w:line="360" w:lineRule="auto"/>
        <w:ind w:firstLine="560" w:firstLineChars="200"/>
        <w:outlineLvl w:val="1"/>
        <w:rPr>
          <w:rFonts w:hint="eastAsia" w:ascii="宋体" w:hAnsi="宋体" w:cs="宋体"/>
          <w:sz w:val="28"/>
          <w:szCs w:val="28"/>
          <w:lang w:eastAsia="zh-CN"/>
        </w:rPr>
      </w:pPr>
      <w:r>
        <w:rPr>
          <w:rFonts w:hint="eastAsia" w:ascii="宋体" w:hAnsi="宋体" w:cs="宋体"/>
          <w:sz w:val="28"/>
          <w:szCs w:val="28"/>
          <w:lang w:eastAsia="zh-CN"/>
        </w:rPr>
        <w:t>5、乙方应无偿对学校指定人员在现场进行维护、使用说明的培训，使用甲方够完成现场日常操作，技术人员能完成系统维护工作，并制作维护使用手册。</w:t>
      </w:r>
    </w:p>
    <w:p w14:paraId="3215236A">
      <w:pPr>
        <w:widowControl/>
        <w:snapToGrid w:val="0"/>
        <w:spacing w:line="360" w:lineRule="auto"/>
        <w:ind w:firstLine="560" w:firstLineChars="200"/>
        <w:outlineLvl w:val="1"/>
        <w:rPr>
          <w:rFonts w:hint="eastAsia" w:ascii="宋体" w:hAnsi="宋体" w:cs="宋体"/>
          <w:sz w:val="28"/>
          <w:szCs w:val="28"/>
          <w:lang w:eastAsia="zh-CN"/>
        </w:rPr>
      </w:pPr>
      <w:r>
        <w:rPr>
          <w:rFonts w:hint="eastAsia" w:ascii="宋体" w:hAnsi="宋体" w:cs="宋体"/>
          <w:sz w:val="28"/>
          <w:szCs w:val="28"/>
          <w:lang w:eastAsia="zh-CN"/>
        </w:rPr>
        <w:t>6、在保修期内更换系统中部件（包括软件和硬件），其保修期应相应延长。</w:t>
      </w:r>
    </w:p>
    <w:p w14:paraId="1E3ED903">
      <w:pPr>
        <w:widowControl/>
        <w:snapToGrid w:val="0"/>
        <w:spacing w:line="360" w:lineRule="auto"/>
        <w:ind w:firstLine="560" w:firstLineChars="200"/>
        <w:outlineLvl w:val="1"/>
        <w:rPr>
          <w:rFonts w:ascii="宋体" w:hAnsi="宋体" w:cs="宋体"/>
          <w:sz w:val="28"/>
          <w:szCs w:val="28"/>
        </w:rPr>
      </w:pPr>
      <w:r>
        <w:rPr>
          <w:rFonts w:hint="eastAsia" w:ascii="宋体" w:hAnsi="宋体" w:cs="宋体"/>
          <w:sz w:val="28"/>
          <w:szCs w:val="28"/>
          <w:lang w:eastAsia="zh-CN"/>
        </w:rPr>
        <w:t>十</w:t>
      </w:r>
      <w:r>
        <w:rPr>
          <w:rFonts w:hint="eastAsia" w:ascii="宋体" w:hAnsi="宋体" w:cs="宋体"/>
          <w:sz w:val="28"/>
          <w:szCs w:val="28"/>
        </w:rPr>
        <w:t>、其他事项</w:t>
      </w:r>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14:paraId="0D74F6AE">
      <w:pPr>
        <w:widowControl/>
        <w:snapToGrid w:val="0"/>
        <w:spacing w:line="360" w:lineRule="auto"/>
        <w:ind w:firstLine="560" w:firstLineChars="200"/>
        <w:rPr>
          <w:rFonts w:ascii="宋体" w:hAnsi="宋体" w:cs="宋体"/>
          <w:sz w:val="28"/>
          <w:szCs w:val="28"/>
        </w:rPr>
      </w:pPr>
      <w:r>
        <w:rPr>
          <w:rFonts w:hint="eastAsia" w:ascii="宋体" w:hAnsi="宋体" w:cs="宋体"/>
          <w:sz w:val="28"/>
          <w:szCs w:val="28"/>
        </w:rPr>
        <w:t>（一）采购人监督部门在合同的履行期间以及履行期后，可以随时检查项目的执行情况，对采购内容进行调查核实，并对发现的问题进行处理。</w:t>
      </w:r>
    </w:p>
    <w:p w14:paraId="6B4BD16A">
      <w:pPr>
        <w:widowControl/>
        <w:snapToGrid w:val="0"/>
        <w:spacing w:line="360" w:lineRule="auto"/>
        <w:ind w:firstLine="560" w:firstLineChars="200"/>
        <w:rPr>
          <w:rFonts w:ascii="宋体" w:hAnsi="宋体" w:cs="宋体"/>
          <w:sz w:val="28"/>
          <w:szCs w:val="28"/>
        </w:rPr>
      </w:pPr>
      <w:r>
        <w:rPr>
          <w:rFonts w:hint="eastAsia" w:ascii="宋体" w:hAnsi="宋体" w:cs="宋体"/>
          <w:sz w:val="28"/>
          <w:szCs w:val="28"/>
        </w:rPr>
        <w:t>（二）本合同一式</w:t>
      </w:r>
      <w:r>
        <w:rPr>
          <w:rFonts w:hint="eastAsia" w:ascii="宋体" w:hAnsi="宋体" w:cs="宋体"/>
          <w:sz w:val="28"/>
          <w:szCs w:val="28"/>
          <w:u w:val="single"/>
          <w:lang w:eastAsia="zh-CN"/>
        </w:rPr>
        <w:t>四</w:t>
      </w:r>
      <w:r>
        <w:rPr>
          <w:rFonts w:hint="eastAsia" w:ascii="宋体" w:hAnsi="宋体" w:cs="宋体"/>
          <w:sz w:val="28"/>
          <w:szCs w:val="28"/>
        </w:rPr>
        <w:t>份，甲方</w:t>
      </w:r>
      <w:r>
        <w:rPr>
          <w:rFonts w:hint="eastAsia" w:ascii="宋体" w:hAnsi="宋体" w:cs="宋体"/>
          <w:sz w:val="28"/>
          <w:szCs w:val="28"/>
          <w:u w:val="single"/>
        </w:rPr>
        <w:t xml:space="preserve"> </w:t>
      </w:r>
      <w:r>
        <w:rPr>
          <w:rFonts w:hint="eastAsia" w:ascii="宋体" w:hAnsi="宋体" w:cs="宋体"/>
          <w:sz w:val="28"/>
          <w:szCs w:val="28"/>
          <w:u w:val="single"/>
          <w:lang w:eastAsia="zh-CN"/>
        </w:rPr>
        <w:t>二</w:t>
      </w:r>
      <w:r>
        <w:rPr>
          <w:rFonts w:hint="eastAsia" w:ascii="宋体" w:hAnsi="宋体" w:cs="宋体"/>
          <w:sz w:val="28"/>
          <w:szCs w:val="28"/>
          <w:u w:val="single"/>
        </w:rPr>
        <w:t xml:space="preserve"> </w:t>
      </w:r>
      <w:r>
        <w:rPr>
          <w:rFonts w:hint="eastAsia" w:ascii="宋体" w:hAnsi="宋体" w:cs="宋体"/>
          <w:sz w:val="28"/>
          <w:szCs w:val="28"/>
        </w:rPr>
        <w:t>份，乙方</w:t>
      </w:r>
      <w:r>
        <w:rPr>
          <w:rFonts w:hint="eastAsia" w:ascii="宋体" w:hAnsi="宋体" w:cs="宋体"/>
          <w:sz w:val="28"/>
          <w:szCs w:val="28"/>
          <w:u w:val="single"/>
        </w:rPr>
        <w:t xml:space="preserve"> 二 </w:t>
      </w:r>
      <w:r>
        <w:rPr>
          <w:rFonts w:hint="eastAsia" w:ascii="宋体" w:hAnsi="宋体" w:cs="宋体"/>
          <w:sz w:val="28"/>
          <w:szCs w:val="28"/>
        </w:rPr>
        <w:t xml:space="preserve"> 份，甲乙双方签字盖章后生效。</w:t>
      </w:r>
    </w:p>
    <w:p w14:paraId="20DB0825">
      <w:pPr>
        <w:widowControl/>
        <w:snapToGrid w:val="0"/>
        <w:spacing w:line="360" w:lineRule="auto"/>
        <w:ind w:firstLine="560" w:firstLineChars="200"/>
        <w:rPr>
          <w:rFonts w:ascii="宋体" w:hAnsi="宋体" w:cs="宋体"/>
          <w:sz w:val="28"/>
          <w:szCs w:val="28"/>
        </w:rPr>
      </w:pPr>
      <w:r>
        <w:rPr>
          <w:rFonts w:hint="eastAsia" w:ascii="宋体" w:hAnsi="宋体" w:cs="宋体"/>
          <w:sz w:val="28"/>
          <w:szCs w:val="28"/>
        </w:rPr>
        <w:t>（三）</w:t>
      </w:r>
      <w:r>
        <w:rPr>
          <w:rFonts w:hint="eastAsia" w:ascii="宋体" w:hAnsi="宋体" w:cs="宋体"/>
          <w:sz w:val="28"/>
          <w:szCs w:val="28"/>
          <w:lang w:eastAsia="zh-CN"/>
        </w:rPr>
        <w:t>磋商文件</w:t>
      </w:r>
      <w:r>
        <w:rPr>
          <w:rFonts w:hint="eastAsia" w:ascii="宋体" w:hAnsi="宋体" w:cs="宋体"/>
          <w:sz w:val="28"/>
          <w:szCs w:val="28"/>
        </w:rPr>
        <w:t>、响应文件也是合同的组成部分，合同中未约定的以</w:t>
      </w:r>
      <w:r>
        <w:rPr>
          <w:rFonts w:hint="eastAsia" w:ascii="宋体" w:hAnsi="宋体" w:cs="宋体"/>
          <w:sz w:val="28"/>
          <w:szCs w:val="28"/>
          <w:lang w:eastAsia="zh-CN"/>
        </w:rPr>
        <w:t>磋商文件</w:t>
      </w:r>
      <w:r>
        <w:rPr>
          <w:rFonts w:hint="eastAsia" w:ascii="宋体" w:hAnsi="宋体" w:cs="宋体"/>
          <w:sz w:val="28"/>
          <w:szCs w:val="28"/>
        </w:rPr>
        <w:t>、响应文件为准。</w:t>
      </w:r>
    </w:p>
    <w:p w14:paraId="4251BC81">
      <w:pPr>
        <w:widowControl/>
        <w:snapToGrid w:val="0"/>
        <w:spacing w:line="360" w:lineRule="auto"/>
        <w:ind w:firstLine="560" w:firstLineChars="200"/>
        <w:rPr>
          <w:rFonts w:ascii="宋体" w:hAnsi="宋体" w:cs="宋体"/>
          <w:sz w:val="28"/>
          <w:szCs w:val="28"/>
        </w:rPr>
      </w:pPr>
      <w:r>
        <w:rPr>
          <w:rFonts w:hint="eastAsia" w:ascii="宋体" w:hAnsi="宋体" w:cs="宋体"/>
          <w:sz w:val="28"/>
          <w:szCs w:val="28"/>
        </w:rPr>
        <w:t>（四）未尽事宜双方共同协商制定。</w:t>
      </w:r>
    </w:p>
    <w:p w14:paraId="1780C8BC">
      <w:pPr>
        <w:widowControl/>
        <w:snapToGrid w:val="0"/>
        <w:spacing w:line="360" w:lineRule="auto"/>
        <w:ind w:firstLine="560" w:firstLineChars="200"/>
        <w:rPr>
          <w:rFonts w:ascii="宋体" w:hAnsi="宋体" w:cs="宋体"/>
          <w:sz w:val="28"/>
          <w:szCs w:val="28"/>
        </w:rPr>
      </w:pPr>
      <w:r>
        <w:rPr>
          <w:rFonts w:hint="eastAsia" w:ascii="宋体" w:hAnsi="宋体" w:cs="宋体"/>
          <w:sz w:val="28"/>
          <w:szCs w:val="28"/>
        </w:rPr>
        <w:t xml:space="preserve">合同签订地点：   </w:t>
      </w:r>
    </w:p>
    <w:p w14:paraId="4642BF1A">
      <w:pPr>
        <w:widowControl/>
        <w:snapToGrid w:val="0"/>
        <w:spacing w:line="360" w:lineRule="auto"/>
        <w:ind w:firstLine="560" w:firstLineChars="200"/>
        <w:rPr>
          <w:rFonts w:ascii="宋体" w:hAnsi="宋体" w:cs="宋体"/>
          <w:sz w:val="28"/>
          <w:szCs w:val="28"/>
        </w:rPr>
      </w:pPr>
      <w:r>
        <w:rPr>
          <w:rFonts w:hint="eastAsia" w:ascii="宋体" w:hAnsi="宋体" w:cs="宋体"/>
          <w:sz w:val="28"/>
          <w:szCs w:val="28"/>
        </w:rPr>
        <w:t>合同签订时间：    年   月    日</w:t>
      </w:r>
    </w:p>
    <w:p w14:paraId="5E98C0DC">
      <w:pPr>
        <w:widowControl/>
        <w:snapToGrid w:val="0"/>
        <w:spacing w:line="360" w:lineRule="auto"/>
        <w:ind w:firstLine="560" w:firstLineChars="200"/>
        <w:rPr>
          <w:rFonts w:hint="eastAsia" w:ascii="宋体" w:hAnsi="宋体" w:eastAsia="宋体" w:cs="宋体"/>
          <w:sz w:val="28"/>
          <w:szCs w:val="28"/>
          <w:lang w:eastAsia="zh-CN"/>
        </w:rPr>
      </w:pPr>
      <w:r>
        <w:rPr>
          <w:rFonts w:hint="eastAsia" w:ascii="宋体" w:hAnsi="宋体" w:cs="宋体"/>
          <w:sz w:val="28"/>
          <w:szCs w:val="28"/>
        </w:rPr>
        <w:t>甲    方</w:t>
      </w:r>
      <w:r>
        <w:rPr>
          <w:rFonts w:hint="eastAsia" w:ascii="宋体" w:hAnsi="宋体" w:cs="宋体"/>
          <w:sz w:val="28"/>
          <w:szCs w:val="28"/>
          <w:lang w:eastAsia="zh-CN"/>
        </w:rPr>
        <w:t>：</w:t>
      </w:r>
      <w:r>
        <w:rPr>
          <w:rFonts w:hint="eastAsia" w:ascii="宋体" w:hAnsi="宋体" w:cs="宋体"/>
          <w:sz w:val="28"/>
          <w:szCs w:val="28"/>
        </w:rPr>
        <w:t xml:space="preserve">                          乙    方</w:t>
      </w:r>
      <w:r>
        <w:rPr>
          <w:rFonts w:hint="eastAsia" w:ascii="宋体" w:hAnsi="宋体" w:cs="宋体"/>
          <w:sz w:val="28"/>
          <w:szCs w:val="28"/>
          <w:lang w:eastAsia="zh-CN"/>
        </w:rPr>
        <w:t>：</w:t>
      </w:r>
    </w:p>
    <w:p w14:paraId="23267848">
      <w:pPr>
        <w:widowControl/>
        <w:snapToGrid w:val="0"/>
        <w:spacing w:line="360" w:lineRule="auto"/>
        <w:ind w:firstLine="560" w:firstLineChars="200"/>
        <w:rPr>
          <w:rFonts w:ascii="宋体" w:hAnsi="宋体" w:cs="宋体"/>
          <w:sz w:val="28"/>
          <w:szCs w:val="28"/>
        </w:rPr>
      </w:pPr>
      <w:r>
        <w:rPr>
          <w:rFonts w:hint="eastAsia" w:ascii="宋体" w:hAnsi="宋体" w:cs="宋体"/>
          <w:sz w:val="28"/>
          <w:szCs w:val="28"/>
        </w:rPr>
        <w:t xml:space="preserve">单位名称：         </w:t>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 xml:space="preserve">      单位名称： </w:t>
      </w:r>
    </w:p>
    <w:p w14:paraId="2E2B1A8E">
      <w:pPr>
        <w:widowControl/>
        <w:snapToGrid w:val="0"/>
        <w:spacing w:line="360" w:lineRule="auto"/>
        <w:ind w:firstLine="560" w:firstLineChars="200"/>
        <w:rPr>
          <w:rFonts w:ascii="宋体" w:hAnsi="宋体" w:cs="宋体"/>
          <w:sz w:val="28"/>
          <w:szCs w:val="28"/>
        </w:rPr>
      </w:pPr>
      <w:r>
        <w:rPr>
          <w:rFonts w:hint="eastAsia" w:ascii="宋体" w:hAnsi="宋体" w:cs="宋体"/>
          <w:sz w:val="28"/>
          <w:szCs w:val="28"/>
        </w:rPr>
        <w:t xml:space="preserve">地   址：  </w:t>
      </w:r>
      <w:r>
        <w:rPr>
          <w:rFonts w:hint="eastAsia" w:ascii="宋体" w:hAnsi="宋体" w:cs="宋体"/>
          <w:sz w:val="28"/>
          <w:szCs w:val="28"/>
        </w:rPr>
        <w:tab/>
      </w:r>
      <w:r>
        <w:rPr>
          <w:rFonts w:hint="eastAsia" w:ascii="宋体" w:hAnsi="宋体" w:cs="宋体"/>
          <w:sz w:val="28"/>
          <w:szCs w:val="28"/>
        </w:rPr>
        <w:t xml:space="preserve">       </w:t>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 xml:space="preserve">   地    址：</w:t>
      </w:r>
    </w:p>
    <w:p w14:paraId="2B76521A">
      <w:pPr>
        <w:widowControl/>
        <w:snapToGrid w:val="0"/>
        <w:spacing w:line="360" w:lineRule="auto"/>
        <w:ind w:firstLine="560" w:firstLineChars="200"/>
        <w:rPr>
          <w:rFonts w:ascii="宋体" w:hAnsi="宋体" w:cs="宋体"/>
          <w:sz w:val="28"/>
          <w:szCs w:val="28"/>
        </w:rPr>
      </w:pPr>
      <w:r>
        <w:rPr>
          <w:rFonts w:hint="eastAsia" w:ascii="宋体" w:hAnsi="宋体" w:cs="宋体"/>
          <w:sz w:val="28"/>
          <w:szCs w:val="28"/>
        </w:rPr>
        <w:t xml:space="preserve">法人代表：                         法人代表： </w:t>
      </w:r>
    </w:p>
    <w:p w14:paraId="23404395">
      <w:pPr>
        <w:widowControl/>
        <w:snapToGrid w:val="0"/>
        <w:spacing w:line="360" w:lineRule="auto"/>
        <w:ind w:firstLine="560" w:firstLineChars="200"/>
        <w:rPr>
          <w:rFonts w:ascii="宋体" w:hAnsi="宋体" w:cs="宋体"/>
          <w:sz w:val="28"/>
          <w:szCs w:val="28"/>
        </w:rPr>
      </w:pPr>
      <w:r>
        <w:rPr>
          <w:rFonts w:hint="eastAsia" w:ascii="宋体" w:hAnsi="宋体" w:cs="宋体"/>
          <w:sz w:val="28"/>
          <w:szCs w:val="28"/>
        </w:rPr>
        <w:t xml:space="preserve">联系电话：               </w:t>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 xml:space="preserve">   联系电话： </w:t>
      </w:r>
    </w:p>
    <w:p w14:paraId="68150B5D">
      <w:pPr>
        <w:widowControl/>
        <w:snapToGrid w:val="0"/>
        <w:spacing w:line="360" w:lineRule="auto"/>
        <w:ind w:firstLine="560" w:firstLineChars="200"/>
        <w:rPr>
          <w:rFonts w:ascii="宋体" w:hAnsi="宋体" w:cs="宋体"/>
          <w:sz w:val="28"/>
          <w:szCs w:val="28"/>
        </w:rPr>
      </w:pPr>
      <w:r>
        <w:rPr>
          <w:rFonts w:hint="eastAsia" w:ascii="宋体" w:hAnsi="宋体" w:cs="宋体"/>
          <w:sz w:val="28"/>
          <w:szCs w:val="28"/>
        </w:rPr>
        <w:t xml:space="preserve">开 户 行：         </w:t>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 xml:space="preserve">   开 户 行： </w:t>
      </w:r>
    </w:p>
    <w:p w14:paraId="3ED71500">
      <w:pPr>
        <w:pStyle w:val="8"/>
        <w:keepLines w:val="0"/>
        <w:pageBreakBefore w:val="0"/>
        <w:kinsoku/>
        <w:overflowPunct/>
        <w:topLinePunct w:val="0"/>
        <w:bidi w:val="0"/>
        <w:spacing w:line="360" w:lineRule="auto"/>
        <w:ind w:firstLine="560" w:firstLineChars="200"/>
        <w:jc w:val="both"/>
        <w:textAlignment w:val="auto"/>
        <w:outlineLvl w:val="9"/>
        <w:rPr>
          <w:rFonts w:hint="eastAsia" w:ascii="宋体" w:hAnsi="宋体" w:eastAsia="宋体" w:cs="宋体"/>
          <w:b/>
          <w:bCs w:val="0"/>
          <w:sz w:val="32"/>
          <w:szCs w:val="32"/>
          <w:highlight w:val="none"/>
        </w:rPr>
      </w:pPr>
      <w:r>
        <w:rPr>
          <w:rFonts w:hint="eastAsia" w:ascii="宋体" w:hAnsi="宋体" w:cs="宋体"/>
          <w:sz w:val="28"/>
          <w:szCs w:val="28"/>
        </w:rPr>
        <w:t xml:space="preserve">账    号：             </w:t>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 xml:space="preserve">   </w:t>
      </w:r>
      <w:r>
        <w:rPr>
          <w:rFonts w:hint="eastAsia" w:ascii="宋体" w:hAnsi="宋体" w:cs="宋体"/>
          <w:sz w:val="28"/>
          <w:szCs w:val="28"/>
        </w:rPr>
        <w:tab/>
      </w:r>
      <w:r>
        <w:rPr>
          <w:rFonts w:hint="eastAsia" w:ascii="宋体" w:hAnsi="宋体" w:cs="宋体"/>
          <w:sz w:val="28"/>
          <w:szCs w:val="28"/>
        </w:rPr>
        <w:t>账    号：</w:t>
      </w:r>
    </w:p>
    <w:bookmarkEnd w:id="0"/>
    <w:bookmarkEnd w:id="1"/>
    <w:bookmarkEnd w:id="2"/>
    <w:p w14:paraId="22915BFE">
      <w:pPr>
        <w:pStyle w:val="2"/>
        <w:spacing w:before="120" w:beforeLines="50" w:after="240" w:afterLines="100" w:line="360" w:lineRule="auto"/>
        <w:ind w:firstLine="0"/>
        <w:jc w:val="center"/>
        <w:outlineLvl w:val="0"/>
        <w:rPr>
          <w:rFonts w:hint="eastAsia" w:ascii="宋体" w:hAnsi="宋体" w:eastAsia="宋体" w:cs="宋体"/>
          <w:b/>
          <w:color w:val="auto"/>
          <w:kern w:val="44"/>
          <w:sz w:val="32"/>
          <w:szCs w:val="32"/>
          <w:highlight w:val="none"/>
        </w:rPr>
      </w:pPr>
    </w:p>
    <w:p w14:paraId="278727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iYjdkYTdkMTA0YzkyMjU4ZDg4MDk4MmVkMDU1NDcifQ=="/>
  </w:docVars>
  <w:rsids>
    <w:rsidRoot w:val="00000000"/>
    <w:rsid w:val="05655F50"/>
    <w:rsid w:val="070A32F3"/>
    <w:rsid w:val="07CF1BFD"/>
    <w:rsid w:val="25A465A5"/>
    <w:rsid w:val="30D5713B"/>
    <w:rsid w:val="3B7503E1"/>
    <w:rsid w:val="520103CD"/>
    <w:rsid w:val="5257222D"/>
    <w:rsid w:val="569A6B8C"/>
    <w:rsid w:val="57185C45"/>
    <w:rsid w:val="76785F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iPriority="99"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index 4"/>
    <w:basedOn w:val="1"/>
    <w:next w:val="1"/>
    <w:unhideWhenUsed/>
    <w:qFormat/>
    <w:uiPriority w:val="99"/>
    <w:pPr>
      <w:ind w:left="428" w:firstLine="140"/>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List Paragraph"/>
    <w:basedOn w:val="1"/>
    <w:autoRedefine/>
    <w:qFormat/>
    <w:uiPriority w:val="34"/>
    <w:pPr>
      <w:ind w:firstLine="420" w:firstLineChars="200"/>
    </w:pPr>
    <w:rPr>
      <w:szCs w:val="24"/>
    </w:rPr>
  </w:style>
  <w:style w:type="paragraph" w:customStyle="1" w:styleId="8">
    <w:name w:val="Default Tex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990</Words>
  <Characters>1011</Characters>
  <Lines>0</Lines>
  <Paragraphs>0</Paragraphs>
  <TotalTime>1</TotalTime>
  <ScaleCrop>false</ScaleCrop>
  <LinksUpToDate>false</LinksUpToDate>
  <CharactersWithSpaces>1277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2024-03-15T04:43:00Z</dcterms:created>
  <dc:creator>Administrator</dc:creator>
  <cp:lastModifiedBy>Cx330</cp:lastModifiedBy>
  <dcterms:modified xsi:type="dcterms:W3CDTF">2025-08-21T02:55:34Z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1A330483D6F74E16ACA3278D0F68A9B7_12</vt:lpwstr>
  </property>
  <property fmtid="{D5CDD505-2E9C-101B-9397-08002B2CF9AE}" pid="4" name="KSOTemplateDocerSaveRecord">
    <vt:lpwstr>eyJoZGlkIjoiZWExOGI5Yjk1MDg4NWE4NzZlYjI4NDg5NWQ4MGNhMmIiLCJ1c2VySWQiOiIzODMzMzQ2ODAifQ==</vt:lpwstr>
  </property>
</Properties>
</file>