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版本号：新天宏THZ2025－62220250825001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教学及办公家具补采项目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新天宏THZ2025－622</w:t>
      </w:r>
      <w:r>
        <w:br/>
      </w:r>
      <w:r>
        <w:br/>
      </w:r>
      <w:r>
        <w:br/>
      </w:r>
    </w:p>
    <w:p>
      <w:pPr>
        <w:pStyle w:val="null3"/>
        <w:jc w:val="center"/>
        <w:outlineLvl w:val="2"/>
      </w:pPr>
      <w:r>
        <w:rPr>
          <w:rFonts w:ascii="仿宋_GB2312" w:hAnsi="仿宋_GB2312" w:cs="仿宋_GB2312" w:eastAsia="仿宋_GB2312"/>
          <w:sz w:val="28"/>
          <w:b/>
        </w:rPr>
        <w:t>西安高新区第三十一小学</w:t>
      </w:r>
    </w:p>
    <w:p>
      <w:pPr>
        <w:pStyle w:val="null3"/>
        <w:jc w:val="center"/>
        <w:outlineLvl w:val="2"/>
      </w:pPr>
      <w:r>
        <w:rPr>
          <w:rFonts w:ascii="仿宋_GB2312" w:hAnsi="仿宋_GB2312" w:cs="仿宋_GB2312" w:eastAsia="仿宋_GB2312"/>
          <w:sz w:val="28"/>
          <w:b/>
        </w:rPr>
        <w:t>西安新天宏项目管理有限责任公司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西安新天宏项目管理有限责任公司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西安高新区第三十一小学</w:t>
      </w:r>
      <w:r>
        <w:rPr>
          <w:rFonts w:ascii="仿宋_GB2312" w:hAnsi="仿宋_GB2312" w:cs="仿宋_GB2312" w:eastAsia="仿宋_GB2312"/>
        </w:rPr>
        <w:t>委托，拟对</w:t>
      </w:r>
      <w:r>
        <w:rPr>
          <w:rFonts w:ascii="仿宋_GB2312" w:hAnsi="仿宋_GB2312" w:cs="仿宋_GB2312" w:eastAsia="仿宋_GB2312"/>
        </w:rPr>
        <w:t>教学及办公家具补采项目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新天宏THZ2025－622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教学及办公家具补采项目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教学及办公家具补采项目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西安高新区第三十一小学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西安市高新区纬二十六路以北，规划九路以西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西安高新区第三十一小学经办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18991105232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西安新天宏项目管理有限责任公司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陕西省西安市雁塔区西安市高新路52号高科大厦4层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029-88318716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参照国家计委颁布的《招标代理服务收费管理暂行办法》（计价格[2002]1980号）和（发改办价格[2003]857号）、发改价格[2011]534号中货物类的收费标准计取。2、成交单位在领取成交通知书之前，须向采购代理机构支付招标代理服务费。3、招标代理服务费以转账或现金形式缴纳至以下账户：开户名称：西安新天宏项目管理有限责任公司 开户银行：中国银行西安高新技术开发区支行 账 号：103264576539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西安高新区第三十一小学</w:t>
      </w:r>
      <w:r>
        <w:rPr>
          <w:rFonts w:ascii="仿宋_GB2312" w:hAnsi="仿宋_GB2312" w:cs="仿宋_GB2312" w:eastAsia="仿宋_GB2312"/>
        </w:rPr>
        <w:t>和</w:t>
      </w:r>
      <w:r>
        <w:rPr>
          <w:rFonts w:ascii="仿宋_GB2312" w:hAnsi="仿宋_GB2312" w:cs="仿宋_GB2312" w:eastAsia="仿宋_GB2312"/>
        </w:rPr>
        <w:t>西安新天宏项目管理有限责任公司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西安高新区第三十一小学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西安新天宏项目管理有限责任公司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西安新天宏项目管理有限责任公司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西安新天宏项目管理有限责任公司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联系电话：029-88318716</w:t>
      </w:r>
    </w:p>
    <w:p>
      <w:pPr>
        <w:pStyle w:val="null3"/>
      </w:pPr>
      <w:r>
        <w:rPr>
          <w:rFonts w:ascii="仿宋_GB2312" w:hAnsi="仿宋_GB2312" w:cs="仿宋_GB2312" w:eastAsia="仿宋_GB2312"/>
        </w:rPr>
        <w:t>地址：西安市高新路52号高科大厦4层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采购一批教学及办公家具。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w:t>
      </w:r>
    </w:p>
    <w:p>
      <w:pPr>
        <w:pStyle w:val="null3"/>
      </w:pPr>
      <w:r>
        <w:rPr>
          <w:rFonts w:ascii="仿宋_GB2312" w:hAnsi="仿宋_GB2312" w:cs="仿宋_GB2312" w:eastAsia="仿宋_GB2312"/>
        </w:rPr>
        <w:t>采购包最高限价（元）: 375,000.00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西安高新区第三十一小学教学及办公家具补采项目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标的名称：西安高新区第三十一小学教学及办公家具补采项目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208"/>
              <w:gridCol w:w="888"/>
              <w:gridCol w:w="208"/>
              <w:gridCol w:w="208"/>
              <w:gridCol w:w="625"/>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备注</w:t>
                  </w:r>
                </w:p>
              </w:tc>
            </w:tr>
            <w:tr>
              <w:tc>
                <w:tcPr>
                  <w:tcW w:type="dxa" w:w="23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学生教室</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双人课桌椅</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桌子：</w:t>
                  </w:r>
                  <w:r>
                    <w:rPr>
                      <w:rFonts w:ascii="仿宋_GB2312" w:hAnsi="仿宋_GB2312" w:cs="仿宋_GB2312" w:eastAsia="仿宋_GB2312"/>
                      <w:sz w:val="22"/>
                      <w:color w:val="000000"/>
                    </w:rPr>
                    <w:t>1200×420(450)×650-760mm（高度可调节）椅子：1200×320×350-450mm（高度可调节,带靠背）</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395</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材质说明：课桌：桌面板：采用实木多层板，注塑封边。桌架主管采用</w:t>
                  </w:r>
                  <w:r>
                    <w:rPr>
                      <w:rFonts w:ascii="仿宋_GB2312" w:hAnsi="仿宋_GB2312" w:cs="仿宋_GB2312" w:eastAsia="仿宋_GB2312"/>
                      <w:sz w:val="22"/>
                      <w:color w:val="000000"/>
                    </w:rPr>
                    <w:t>30×30×1.2mm（正差）优质高频方管，其余管材均采用20×20×1.2mm优质高频方管，桌斗为钢斗（980×320×150，钢板厚度为0.6mm），一次冲压成型。以上的管材均采用优质高频焊管。（桌斗角为弧形）凳面支撑采用30×30×1.2mm优质方管；以上的管材均采用优质高频焊管。</w:t>
                  </w:r>
                  <w:r>
                    <w:br/>
                  </w:r>
                  <w:r>
                    <w:rPr>
                      <w:rFonts w:ascii="仿宋_GB2312" w:hAnsi="仿宋_GB2312" w:cs="仿宋_GB2312" w:eastAsia="仿宋_GB2312"/>
                      <w:sz w:val="22"/>
                      <w:color w:val="000000"/>
                    </w:rPr>
                    <w:t>椅子：横管为</w:t>
                  </w:r>
                  <w:r>
                    <w:rPr>
                      <w:rFonts w:ascii="仿宋_GB2312" w:hAnsi="仿宋_GB2312" w:cs="仿宋_GB2312" w:eastAsia="仿宋_GB2312"/>
                      <w:sz w:val="22"/>
                      <w:color w:val="000000"/>
                    </w:rPr>
                    <w:t>40×20×1.2mm优质矩管，椅面下支撑采用20×20×1.2mm优质方管；以上的管材均采用优质高频焊管。桌面板：1100×420×18mm模压板，与桌架连接采用拉铆连接，四颗拉铆钉。座板：1100×320×18mm防火板（双面贴，覆面为：富美家防火板，采用6颗拉铆钉连接），颜色为榉木色。靠背板： 400×160mm模压板，采用6颗拉铆钉连接），颜色为榉木色。桌腿及椅腿下部均采用内套保护，其余管口外露部分采用内堵。焊接为二氧化碳气体保护焊，并经过严格的HIP溶液酸洗、强磷化处理（加催化剂），内、外彻底除油、除锈采用高压强喷塑附着力强，热固后不易脱落，表面光泽好，耐久性、抗冲力强，保证五年不出现反锈现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图书架</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800*400*1600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板式结构，桌面基材采用国产优质</w:t>
                  </w:r>
                  <w:r>
                    <w:rPr>
                      <w:rFonts w:ascii="仿宋_GB2312" w:hAnsi="仿宋_GB2312" w:cs="仿宋_GB2312" w:eastAsia="仿宋_GB2312"/>
                      <w:sz w:val="22"/>
                      <w:color w:val="000000"/>
                    </w:rPr>
                    <w:t>E0级实木多层双贴面板，层板厚度为25mm，使用高精度电子开料锯加工成标准部件，部件裸露周边用1.2mm厚的PVC封边条，经过全自动封边机涂饰高温热熔胶，在190℃的条件下施加一定压力粘结，保证持久牢固不易开裂.颜色定制</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批改作业桌</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1200*500*760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板式结构，可折叠。面材：桌面基材采用国产优质</w:t>
                  </w:r>
                  <w:r>
                    <w:rPr>
                      <w:rFonts w:ascii="仿宋_GB2312" w:hAnsi="仿宋_GB2312" w:cs="仿宋_GB2312" w:eastAsia="仿宋_GB2312"/>
                      <w:sz w:val="22"/>
                      <w:color w:val="000000"/>
                    </w:rPr>
                    <w:t>E0级高密度双贴面板，符合国际E0级环保标准。桌面厚度为25mm</w:t>
                  </w:r>
                  <w:r>
                    <w:br/>
                  </w:r>
                  <w:r>
                    <w:rPr>
                      <w:rFonts w:ascii="仿宋_GB2312" w:hAnsi="仿宋_GB2312" w:cs="仿宋_GB2312" w:eastAsia="仿宋_GB2312"/>
                      <w:sz w:val="22"/>
                      <w:color w:val="000000"/>
                    </w:rPr>
                    <w:t>基材：优质品牌高密度板，优质绿色环保产品，甲醛含量</w:t>
                  </w:r>
                  <w:r>
                    <w:rPr>
                      <w:rFonts w:ascii="仿宋_GB2312" w:hAnsi="仿宋_GB2312" w:cs="仿宋_GB2312" w:eastAsia="仿宋_GB2312"/>
                      <w:sz w:val="22"/>
                      <w:color w:val="000000"/>
                    </w:rPr>
                    <w:t>≤0.1mg/L密度≥760㎏/m3，静曲张度≥51.2Mpa，吸水膨胀率≤8.1%；五金配件：三合一及四合一连接件</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教师看护椅</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四脚钢架结构，黑色环保西皮，椅架为喷涂工艺，底板为加厚钢板，座背采用不助燃高弹定型海绵（</w:t>
                  </w:r>
                  <w:r>
                    <w:rPr>
                      <w:rFonts w:ascii="仿宋_GB2312" w:hAnsi="仿宋_GB2312" w:cs="仿宋_GB2312" w:eastAsia="仿宋_GB2312"/>
                      <w:sz w:val="22"/>
                      <w:color w:val="000000"/>
                    </w:rPr>
                    <w:t>PU材料发泡而成），面棉密度≥21kg/m³，底棉密度≥48kg/m³，泡棉回弹性可达35%。透气性好，不褪色，无异味，持久不变形。</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教师凳</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带低靠背可叠放塑料凳，采用全新环保</w:t>
                  </w:r>
                  <w:r>
                    <w:rPr>
                      <w:rFonts w:ascii="仿宋_GB2312" w:hAnsi="仿宋_GB2312" w:cs="仿宋_GB2312" w:eastAsia="仿宋_GB2312"/>
                      <w:sz w:val="22"/>
                      <w:color w:val="000000"/>
                    </w:rPr>
                    <w:t>PP材料，一次注塑成型，结固耐用。环保无毒无味。</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书包柜</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310*390*500（后确定颜色）</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材质：更衣柜全部为</w:t>
                  </w:r>
                  <w:r>
                    <w:rPr>
                      <w:rFonts w:ascii="仿宋_GB2312" w:hAnsi="仿宋_GB2312" w:cs="仿宋_GB2312" w:eastAsia="仿宋_GB2312"/>
                      <w:sz w:val="22"/>
                      <w:color w:val="000000"/>
                    </w:rPr>
                    <w:t>ABS全新工程塑料制成，强度高、韧性好、耐冲击，不易腐蚀，无毒无味，环保耐用</w:t>
                  </w:r>
                  <w:r>
                    <w:br/>
                  </w:r>
                  <w:r>
                    <w:rPr>
                      <w:rFonts w:ascii="仿宋_GB2312" w:hAnsi="仿宋_GB2312" w:cs="仿宋_GB2312" w:eastAsia="仿宋_GB2312"/>
                      <w:sz w:val="22"/>
                      <w:color w:val="000000"/>
                    </w:rPr>
                    <w:t>工艺：采用钢制模具注塑一次成型；</w:t>
                  </w:r>
                  <w:r>
                    <w:br/>
                  </w:r>
                  <w:r>
                    <w:rPr>
                      <w:rFonts w:ascii="仿宋_GB2312" w:hAnsi="仿宋_GB2312" w:cs="仿宋_GB2312" w:eastAsia="仿宋_GB2312"/>
                      <w:sz w:val="22"/>
                      <w:color w:val="000000"/>
                    </w:rPr>
                    <w:t>产品特点：榫接结构并合理布局加强筋，安装时不用胶水粘结，不用任何螺丝，使用产品自身力量相互连结，产品不变形、不扭曲，达到可重复拆装使用</w:t>
                  </w:r>
                  <w:r>
                    <w:br/>
                  </w:r>
                  <w:r>
                    <w:rPr>
                      <w:rFonts w:ascii="仿宋_GB2312" w:hAnsi="仿宋_GB2312" w:cs="仿宋_GB2312" w:eastAsia="仿宋_GB2312"/>
                      <w:sz w:val="22"/>
                      <w:color w:val="000000"/>
                    </w:rPr>
                    <w:t>使用寿命：抗冲击、耐腐蚀、不生锈，设计使用寿命大于</w:t>
                  </w:r>
                  <w:r>
                    <w:rPr>
                      <w:rFonts w:ascii="仿宋_GB2312" w:hAnsi="仿宋_GB2312" w:cs="仿宋_GB2312" w:eastAsia="仿宋_GB2312"/>
                      <w:sz w:val="22"/>
                      <w:color w:val="000000"/>
                    </w:rPr>
                    <w:t>20年。铰链：高强度尼龙铰链，防水，防锈</w:t>
                  </w:r>
                  <w:r>
                    <w:br/>
                  </w:r>
                  <w:r>
                    <w:rPr>
                      <w:rFonts w:ascii="仿宋_GB2312" w:hAnsi="仿宋_GB2312" w:cs="仿宋_GB2312" w:eastAsia="仿宋_GB2312"/>
                      <w:sz w:val="22"/>
                      <w:color w:val="000000"/>
                    </w:rPr>
                    <w:t>安装方式：榫卯连接，牢固耐用，底座高度为</w:t>
                  </w:r>
                  <w:r>
                    <w:rPr>
                      <w:rFonts w:ascii="仿宋_GB2312" w:hAnsi="仿宋_GB2312" w:cs="仿宋_GB2312" w:eastAsia="仿宋_GB2312"/>
                      <w:sz w:val="22"/>
                      <w:color w:val="000000"/>
                    </w:rPr>
                    <w:t>100mm，上下板厚30mm从而使产品更牢固、结实耐用。每个门板与侧板连结采用高强度尼龙防水铰链和上下门轴加固.，使门更结实耐用，门板与侧板并安装有防盗插销。每门要加装拉手（作用1.方便开关门；2.防止门在不锁状态下自动开门，撞伤他人。）ABS工程塑料，环保卫生，无毒无味，4门，防腐防锈，环保无公害。</w:t>
                  </w:r>
                </w:p>
              </w:tc>
            </w:tr>
            <w:tr>
              <w:tc>
                <w:tcPr>
                  <w:tcW w:type="dxa" w:w="234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color w:val="000000"/>
                    </w:rPr>
                    <w:t>办公家具</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1600*800*760</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桌子为钢架结构，台面基材采用国产优质</w:t>
                  </w:r>
                  <w:r>
                    <w:rPr>
                      <w:rFonts w:ascii="仿宋_GB2312" w:hAnsi="仿宋_GB2312" w:cs="仿宋_GB2312" w:eastAsia="仿宋_GB2312"/>
                      <w:sz w:val="22"/>
                      <w:color w:val="000000"/>
                    </w:rPr>
                    <w:t>E0级高密度双贴面板，台面厚度为25mm，使用高精度电子开料锯加工成标准部件，部件裸露周边用1.2mm厚的PVC封边条，经过全自动封边机涂饰高温热熔胶，在190℃的条件下施加一定压力粘结，保证持久牢固不易开裂，桌面颜色具有色泽鲜亮，色牢度高等特点。五金轨道采用优质三节导轨，锁具重复率1/10000；优质门铰，可反复开合3万次，承重25kg；不含副台，一个主机车，含两个钢制三抽活动柜，钢板厚度需不小于0.8mm，大抽屉底板需加装承重轮设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三抽推柜</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450*550*650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0.8厚冷扎钢板全钢三抽连锁推柜。优质冷轧钢板，大底抽含抽屉底部拖轮，开合方便，承重性好。经除油、酸洗磷化、静电塑粉喷涂、高温加热干燥等处理，防腐防锈，环保无公害，含防撞护角垫</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基材：椅子气压升降结构，带头枕设计，同步锁定倾仰功能，椅面芯材采用高弹定型海绵，由</w:t>
                  </w:r>
                  <w:r>
                    <w:rPr>
                      <w:rFonts w:ascii="仿宋_GB2312" w:hAnsi="仿宋_GB2312" w:cs="仿宋_GB2312" w:eastAsia="仿宋_GB2312"/>
                      <w:sz w:val="22"/>
                      <w:color w:val="000000"/>
                    </w:rPr>
                    <w:t>PU材料发泡而成，面棉密度≥21kg/m³，底棉密度≥48kg/m³，泡棉回弹性可达35%，有较强的延伸性和弹性、轻薄、透气性好。优质网布面，网布面回弹力强，经过防油污、防磨等处理，座面柔软舒适，符合人体工程学，透气性好，不褪色，无异味。连体胶板为一次成型塑胶，材质为PP+20%GF；背框可通过BIFMAX破坏性测试。背内框为一次成型塑胶，材质为PP+20%GF。座内板为一次成型塑胶，材质为PP+20%GF。整张椅子通过BIFMAX5.1破坏性推背136kg一分钟；扶手架可通过68kg水平拉力与136kg垂直拉力1分钟破坏性测试。不带轮带平脚钉。</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六门储物柜</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1200*5000*2400（每门带独立感应锁）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木质结构，桌面基材采用国产优质</w:t>
                  </w:r>
                  <w:r>
                    <w:rPr>
                      <w:rFonts w:ascii="仿宋_GB2312" w:hAnsi="仿宋_GB2312" w:cs="仿宋_GB2312" w:eastAsia="仿宋_GB2312"/>
                      <w:sz w:val="22"/>
                      <w:color w:val="000000"/>
                    </w:rPr>
                    <w:t>E0级高密度双贴面板，桌面厚度为25mm，使用高精度电子开料锯加工成标准部件，部件裸露周边用1.2mm厚的PVC封边条，经过全自动封边机涂饰高温热熔胶，在190℃的条件下施加一定压力粘结，保证持久牢固不易开裂，桌面颜色具有色泽鲜亮，色牢度高等特点。五金合页采用优质阻尼合页，门扇带密码感应门锁。颜色定制</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三门通扇更衣柜</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1200*5000*2400（每门带独立感应锁）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木质结构，桌面基材采用国产优质</w:t>
                  </w:r>
                  <w:r>
                    <w:rPr>
                      <w:rFonts w:ascii="仿宋_GB2312" w:hAnsi="仿宋_GB2312" w:cs="仿宋_GB2312" w:eastAsia="仿宋_GB2312"/>
                      <w:sz w:val="22"/>
                      <w:color w:val="000000"/>
                    </w:rPr>
                    <w:t>E0级高密度双贴面板，桌面厚度为25mm，使用高精度电子开料锯加工成标准部件，部件裸露周边用1.2mm厚的PVC封边条，经过全自动封边机涂饰高温热熔胶，在190℃的条件下施加一定压力粘结，保证持久牢固不易开裂，桌面颜色具有色泽鲜亮，色牢度高等特点。五金合页采用优质阻尼合页，门扇带密码感应门锁。颜色定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符合目前国家或地方现行的验收标准及方法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合同内全部工程量的施工内容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合同在履行期间，双方发生一切争议时：在不影响工程进度的前提下，双方协商解决或请有关部门进行调解。协商、调解不成时。双方同意到 高新区人民法院起诉。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至少包括现金流量表、资产负债表和利润表，成立时间至提交响应文件截止时间不足一年的可提供成立后任意时段的资产负债表），或其开标前三个月内基本存款账户开户银行出具的资信证明及基本存款账户开户许可证（或基本账户信息）。</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分项报价表.docx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分项报价表.docx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分项报价表.docx 中小企业声明函 残疾人福利性单位声明函 供货方案.docx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1.投标产品技术参数清楚、明确，有相应齐全的技术资料，完全满足招标技术参数要求得20分；技术参数每负偏离一项扣1分，扣完为止。备注1.指标须提供相应的证明材料（包括但不限于检测报告、产品彩页、产品说明书、认证证书、官网截图等任意一项证明材料即可），未提供或提供的证明材料不符合要求视为负偏离。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系统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1.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提供2022年07月至今类似项目业绩，每份得2分,最高得10分；不提供得0分。（以合同签订时间为准，附有业绩合同复印件加盖公章作为证明材料）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要求且投标价格最低的投标报价为评标基准价，其价格分为满分。其他供应商的价格分统一按照下列公式计算：投标报价得分=(评标基准价／投标报价)×30。计算分数时四舍五入取小数点后两位。 *对小型和微型企业、监狱企业、福利企业的产品的价格给予10%的扣除，用扣除后的价格参与评审。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