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AB102">
      <w:pPr>
        <w:pStyle w:val="5"/>
        <w:tabs>
          <w:tab w:val="left" w:pos="5670"/>
        </w:tabs>
        <w:adjustRightInd w:val="0"/>
        <w:snapToGrid w:val="0"/>
        <w:spacing w:line="640" w:lineRule="exact"/>
        <w:jc w:val="center"/>
        <w:rPr>
          <w:rFonts w:hint="eastAsia" w:ascii="Times New Roman" w:hAnsi="Times New Roman" w:eastAsia="方正小标宋简体"/>
          <w:sz w:val="44"/>
          <w:szCs w:val="44"/>
          <w:lang w:val="en-US" w:eastAsia="zh-CN"/>
        </w:rPr>
      </w:pPr>
    </w:p>
    <w:p w14:paraId="2A611A69">
      <w:pPr>
        <w:pStyle w:val="5"/>
        <w:tabs>
          <w:tab w:val="left" w:pos="5670"/>
        </w:tabs>
        <w:adjustRightInd w:val="0"/>
        <w:snapToGrid w:val="0"/>
        <w:spacing w:line="640" w:lineRule="exact"/>
        <w:jc w:val="center"/>
        <w:rPr>
          <w:rFonts w:hint="eastAsia" w:ascii="Times New Roman" w:hAnsi="Times New Roman" w:eastAsia="方正小标宋简体"/>
          <w:sz w:val="44"/>
          <w:szCs w:val="44"/>
          <w:lang w:val="en-US" w:eastAsia="zh-CN"/>
        </w:rPr>
      </w:pPr>
    </w:p>
    <w:p w14:paraId="6D8DFB8E">
      <w:pPr>
        <w:pStyle w:val="5"/>
        <w:tabs>
          <w:tab w:val="left" w:pos="5670"/>
        </w:tabs>
        <w:adjustRightInd w:val="0"/>
        <w:snapToGrid w:val="0"/>
        <w:spacing w:line="640" w:lineRule="exact"/>
        <w:jc w:val="center"/>
        <w:rPr>
          <w:rFonts w:hint="eastAsia" w:ascii="Times New Roman" w:hAnsi="Times New Roman" w:eastAsia="方正小标宋简体"/>
          <w:sz w:val="44"/>
          <w:szCs w:val="44"/>
          <w:lang w:val="en-US" w:eastAsia="zh-CN"/>
        </w:rPr>
      </w:pPr>
      <w:r>
        <w:rPr>
          <w:rFonts w:hint="eastAsia" w:ascii="Times New Roman" w:hAnsi="Times New Roman" w:eastAsia="方正小标宋简体"/>
          <w:sz w:val="44"/>
          <w:szCs w:val="44"/>
          <w:lang w:val="en-US" w:eastAsia="zh-CN"/>
        </w:rPr>
        <w:t>西安高新区2025年企业技术改造提升</w:t>
      </w:r>
    </w:p>
    <w:p w14:paraId="669AFF18">
      <w:pPr>
        <w:pStyle w:val="5"/>
        <w:tabs>
          <w:tab w:val="left" w:pos="5670"/>
        </w:tabs>
        <w:adjustRightInd w:val="0"/>
        <w:snapToGrid w:val="0"/>
        <w:spacing w:line="640" w:lineRule="exact"/>
        <w:jc w:val="center"/>
        <w:rPr>
          <w:rFonts w:hint="eastAsia" w:ascii="Times New Roman" w:hAnsi="Times New Roman" w:eastAsia="方正小标宋简体"/>
          <w:sz w:val="44"/>
          <w:szCs w:val="44"/>
        </w:rPr>
      </w:pPr>
      <w:r>
        <w:rPr>
          <w:rFonts w:hint="eastAsia" w:ascii="Times New Roman" w:hAnsi="Times New Roman" w:eastAsia="方正小标宋简体"/>
          <w:sz w:val="44"/>
          <w:szCs w:val="44"/>
          <w:lang w:val="en-US" w:eastAsia="zh-CN"/>
        </w:rPr>
        <w:t>综合服务项目</w:t>
      </w:r>
      <w:r>
        <w:rPr>
          <w:rFonts w:hint="eastAsia" w:ascii="Times New Roman" w:hAnsi="Times New Roman" w:eastAsia="方正小标宋简体"/>
          <w:sz w:val="44"/>
          <w:szCs w:val="44"/>
        </w:rPr>
        <w:t>合同</w:t>
      </w:r>
    </w:p>
    <w:p w14:paraId="6C33A7AE">
      <w:pPr>
        <w:jc w:val="center"/>
        <w:outlineLvl w:val="0"/>
        <w:rPr>
          <w:rFonts w:ascii="Times New Roman" w:hAnsi="Times New Roman" w:eastAsia="仿宋"/>
          <w:b/>
          <w:bCs/>
          <w:sz w:val="44"/>
        </w:rPr>
      </w:pPr>
    </w:p>
    <w:p w14:paraId="0DFBC3FB">
      <w:pPr>
        <w:rPr>
          <w:rFonts w:ascii="Times New Roman" w:hAnsi="Times New Roman" w:eastAsia="仿宋"/>
          <w:sz w:val="28"/>
        </w:rPr>
      </w:pPr>
    </w:p>
    <w:p w14:paraId="4A08BC4B">
      <w:pPr>
        <w:rPr>
          <w:rFonts w:ascii="Times New Roman" w:hAnsi="Times New Roman" w:eastAsia="仿宋"/>
          <w:sz w:val="28"/>
        </w:rPr>
      </w:pPr>
    </w:p>
    <w:p w14:paraId="77DA8C8C">
      <w:pPr>
        <w:pStyle w:val="2"/>
        <w:tabs>
          <w:tab w:val="center" w:pos="4153"/>
          <w:tab w:val="right" w:pos="8306"/>
          <w:tab w:val="clear" w:pos="4140"/>
          <w:tab w:val="clear" w:pos="8300"/>
        </w:tabs>
        <w:rPr>
          <w:rFonts w:eastAsia="仿宋"/>
          <w:sz w:val="28"/>
        </w:rPr>
      </w:pPr>
    </w:p>
    <w:p w14:paraId="044C5389">
      <w:pPr>
        <w:pStyle w:val="2"/>
        <w:tabs>
          <w:tab w:val="center" w:pos="4153"/>
          <w:tab w:val="right" w:pos="8306"/>
          <w:tab w:val="clear" w:pos="4140"/>
          <w:tab w:val="clear" w:pos="8300"/>
        </w:tabs>
        <w:rPr>
          <w:rFonts w:eastAsia="仿宋"/>
          <w:sz w:val="28"/>
        </w:rPr>
      </w:pPr>
    </w:p>
    <w:p w14:paraId="1EA9462F">
      <w:pPr>
        <w:pStyle w:val="2"/>
        <w:tabs>
          <w:tab w:val="center" w:pos="4153"/>
          <w:tab w:val="right" w:pos="8306"/>
          <w:tab w:val="clear" w:pos="4140"/>
          <w:tab w:val="clear" w:pos="8300"/>
        </w:tabs>
        <w:rPr>
          <w:rFonts w:eastAsia="仿宋"/>
          <w:sz w:val="28"/>
        </w:rPr>
      </w:pPr>
    </w:p>
    <w:p w14:paraId="7F8EE548">
      <w:pPr>
        <w:rPr>
          <w:rFonts w:ascii="Times New Roman" w:hAnsi="Times New Roman" w:eastAsia="仿宋"/>
          <w:sz w:val="28"/>
        </w:rPr>
      </w:pPr>
    </w:p>
    <w:p w14:paraId="51B529FC">
      <w:pPr>
        <w:rPr>
          <w:rFonts w:ascii="Times New Roman" w:hAnsi="Times New Roman" w:eastAsia="仿宋"/>
          <w:sz w:val="28"/>
        </w:rPr>
      </w:pPr>
    </w:p>
    <w:p w14:paraId="577C1F2A">
      <w:pPr>
        <w:pStyle w:val="2"/>
        <w:tabs>
          <w:tab w:val="center" w:pos="4153"/>
          <w:tab w:val="right" w:pos="8306"/>
          <w:tab w:val="clear" w:pos="4140"/>
          <w:tab w:val="clear" w:pos="8300"/>
        </w:tabs>
        <w:rPr>
          <w:rFonts w:eastAsia="仿宋"/>
          <w:sz w:val="28"/>
        </w:rPr>
      </w:pPr>
    </w:p>
    <w:p w14:paraId="78CE4400">
      <w:pPr>
        <w:pStyle w:val="2"/>
        <w:tabs>
          <w:tab w:val="center" w:pos="4153"/>
          <w:tab w:val="right" w:pos="8306"/>
          <w:tab w:val="clear" w:pos="4140"/>
          <w:tab w:val="clear" w:pos="8300"/>
        </w:tabs>
        <w:rPr>
          <w:rFonts w:eastAsia="仿宋"/>
          <w:sz w:val="28"/>
        </w:rPr>
      </w:pPr>
    </w:p>
    <w:p w14:paraId="38062391">
      <w:pPr>
        <w:pStyle w:val="2"/>
        <w:tabs>
          <w:tab w:val="center" w:pos="4153"/>
          <w:tab w:val="right" w:pos="8306"/>
          <w:tab w:val="clear" w:pos="4140"/>
          <w:tab w:val="clear" w:pos="8300"/>
        </w:tabs>
        <w:rPr>
          <w:rFonts w:eastAsia="仿宋"/>
          <w:sz w:val="28"/>
        </w:rPr>
      </w:pPr>
    </w:p>
    <w:p w14:paraId="5F47980F">
      <w:pPr>
        <w:pStyle w:val="2"/>
        <w:tabs>
          <w:tab w:val="center" w:pos="4153"/>
          <w:tab w:val="right" w:pos="8306"/>
          <w:tab w:val="clear" w:pos="4140"/>
          <w:tab w:val="clear" w:pos="8300"/>
        </w:tabs>
        <w:rPr>
          <w:rFonts w:eastAsia="仿宋"/>
          <w:sz w:val="28"/>
        </w:rPr>
      </w:pPr>
    </w:p>
    <w:p w14:paraId="6666AD2A">
      <w:pPr>
        <w:pStyle w:val="2"/>
        <w:tabs>
          <w:tab w:val="center" w:pos="4153"/>
          <w:tab w:val="right" w:pos="8306"/>
          <w:tab w:val="clear" w:pos="4140"/>
          <w:tab w:val="clear" w:pos="8300"/>
        </w:tabs>
        <w:rPr>
          <w:rFonts w:eastAsia="仿宋"/>
          <w:sz w:val="28"/>
        </w:rPr>
      </w:pPr>
    </w:p>
    <w:p w14:paraId="70EA5452">
      <w:pPr>
        <w:pStyle w:val="2"/>
        <w:tabs>
          <w:tab w:val="center" w:pos="4153"/>
          <w:tab w:val="right" w:pos="8306"/>
          <w:tab w:val="clear" w:pos="4140"/>
          <w:tab w:val="clear" w:pos="8300"/>
        </w:tabs>
        <w:rPr>
          <w:rFonts w:eastAsia="仿宋"/>
          <w:sz w:val="28"/>
        </w:rPr>
      </w:pPr>
    </w:p>
    <w:p w14:paraId="1B10FAFA">
      <w:pPr>
        <w:pStyle w:val="2"/>
        <w:tabs>
          <w:tab w:val="center" w:pos="4153"/>
          <w:tab w:val="right" w:pos="8306"/>
          <w:tab w:val="clear" w:pos="4140"/>
          <w:tab w:val="clear" w:pos="8300"/>
        </w:tabs>
        <w:rPr>
          <w:rFonts w:eastAsia="仿宋"/>
          <w:sz w:val="28"/>
        </w:rPr>
      </w:pPr>
    </w:p>
    <w:p w14:paraId="0149B6E0">
      <w:pPr>
        <w:pStyle w:val="2"/>
        <w:tabs>
          <w:tab w:val="center" w:pos="4153"/>
          <w:tab w:val="right" w:pos="8306"/>
          <w:tab w:val="clear" w:pos="4140"/>
          <w:tab w:val="clear" w:pos="8300"/>
        </w:tabs>
        <w:rPr>
          <w:rFonts w:eastAsia="仿宋"/>
          <w:sz w:val="28"/>
        </w:rPr>
      </w:pPr>
    </w:p>
    <w:p w14:paraId="11012580">
      <w:pPr>
        <w:pStyle w:val="2"/>
        <w:tabs>
          <w:tab w:val="center" w:pos="4153"/>
          <w:tab w:val="right" w:pos="8306"/>
          <w:tab w:val="clear" w:pos="4140"/>
          <w:tab w:val="clear" w:pos="8300"/>
        </w:tabs>
        <w:rPr>
          <w:rFonts w:eastAsia="仿宋"/>
          <w:sz w:val="28"/>
        </w:rPr>
      </w:pPr>
    </w:p>
    <w:p w14:paraId="7E77FBB7">
      <w:pPr>
        <w:pStyle w:val="2"/>
        <w:tabs>
          <w:tab w:val="center" w:pos="4153"/>
          <w:tab w:val="right" w:pos="8306"/>
          <w:tab w:val="clear" w:pos="4140"/>
          <w:tab w:val="clear" w:pos="8300"/>
        </w:tabs>
        <w:rPr>
          <w:rFonts w:eastAsia="仿宋"/>
          <w:sz w:val="28"/>
        </w:rPr>
      </w:pPr>
    </w:p>
    <w:p w14:paraId="5DE0AFE4">
      <w:pPr>
        <w:pStyle w:val="2"/>
        <w:tabs>
          <w:tab w:val="center" w:pos="4153"/>
          <w:tab w:val="right" w:pos="8306"/>
          <w:tab w:val="clear" w:pos="4140"/>
          <w:tab w:val="clear" w:pos="8300"/>
        </w:tabs>
        <w:rPr>
          <w:rFonts w:eastAsia="仿宋"/>
          <w:sz w:val="28"/>
        </w:rPr>
      </w:pPr>
    </w:p>
    <w:p w14:paraId="4FF20FBB">
      <w:pPr>
        <w:pStyle w:val="2"/>
        <w:tabs>
          <w:tab w:val="center" w:pos="4153"/>
          <w:tab w:val="right" w:pos="8306"/>
          <w:tab w:val="clear" w:pos="4140"/>
          <w:tab w:val="clear" w:pos="8300"/>
        </w:tabs>
        <w:rPr>
          <w:rFonts w:eastAsia="仿宋"/>
          <w:sz w:val="28"/>
        </w:rPr>
      </w:pPr>
    </w:p>
    <w:p w14:paraId="399894FB">
      <w:pPr>
        <w:pStyle w:val="2"/>
        <w:tabs>
          <w:tab w:val="center" w:pos="4153"/>
          <w:tab w:val="right" w:pos="8306"/>
          <w:tab w:val="clear" w:pos="4140"/>
          <w:tab w:val="clear" w:pos="8300"/>
        </w:tabs>
        <w:rPr>
          <w:rFonts w:eastAsia="仿宋"/>
          <w:sz w:val="28"/>
        </w:rPr>
      </w:pPr>
    </w:p>
    <w:p w14:paraId="292E2E7E">
      <w:pPr>
        <w:pStyle w:val="2"/>
        <w:tabs>
          <w:tab w:val="center" w:pos="4153"/>
          <w:tab w:val="right" w:pos="8306"/>
          <w:tab w:val="clear" w:pos="4140"/>
          <w:tab w:val="clear" w:pos="8300"/>
        </w:tabs>
        <w:rPr>
          <w:rFonts w:eastAsia="仿宋"/>
          <w:sz w:val="28"/>
        </w:rPr>
      </w:pPr>
    </w:p>
    <w:p w14:paraId="67C539D8">
      <w:pPr>
        <w:pStyle w:val="2"/>
        <w:tabs>
          <w:tab w:val="center" w:pos="4153"/>
          <w:tab w:val="right" w:pos="8306"/>
          <w:tab w:val="clear" w:pos="4140"/>
          <w:tab w:val="clear" w:pos="8300"/>
        </w:tabs>
        <w:rPr>
          <w:rFonts w:eastAsia="仿宋"/>
          <w:sz w:val="28"/>
        </w:rPr>
      </w:pPr>
    </w:p>
    <w:tbl>
      <w:tblPr>
        <w:tblStyle w:val="13"/>
        <w:tblW w:w="0" w:type="auto"/>
        <w:tblInd w:w="607" w:type="dxa"/>
        <w:shd w:val="clear" w:color="auto" w:fill="FFFFFF"/>
        <w:tblLayout w:type="fixed"/>
        <w:tblCellMar>
          <w:top w:w="0" w:type="dxa"/>
          <w:left w:w="108" w:type="dxa"/>
          <w:bottom w:w="0" w:type="dxa"/>
          <w:right w:w="108" w:type="dxa"/>
        </w:tblCellMar>
      </w:tblPr>
      <w:tblGrid>
        <w:gridCol w:w="2203"/>
        <w:gridCol w:w="6200"/>
      </w:tblGrid>
      <w:tr w14:paraId="542E7ACB">
        <w:tblPrEx>
          <w:shd w:val="clear" w:color="auto" w:fill="FFFFFF"/>
          <w:tblCellMar>
            <w:top w:w="0" w:type="dxa"/>
            <w:left w:w="108" w:type="dxa"/>
            <w:bottom w:w="0" w:type="dxa"/>
            <w:right w:w="108" w:type="dxa"/>
          </w:tblCellMar>
        </w:tblPrEx>
        <w:tc>
          <w:tcPr>
            <w:tcW w:w="2203" w:type="dxa"/>
            <w:shd w:val="clear" w:color="auto" w:fill="FFFFFF"/>
            <w:noWrap w:val="0"/>
            <w:vAlign w:val="center"/>
          </w:tcPr>
          <w:p w14:paraId="6D6BAE20">
            <w:pPr>
              <w:spacing w:before="120" w:after="120"/>
              <w:jc w:val="right"/>
              <w:rPr>
                <w:rFonts w:ascii="Times New Roman" w:hAnsi="Times New Roman" w:eastAsia="方正小标宋简体"/>
                <w:bCs/>
                <w:color w:val="000000"/>
                <w:sz w:val="28"/>
                <w:szCs w:val="28"/>
              </w:rPr>
            </w:pPr>
            <w:r>
              <w:rPr>
                <w:rFonts w:hint="eastAsia" w:eastAsia="方正小标宋简体"/>
                <w:bCs/>
                <w:color w:val="000000"/>
                <w:sz w:val="28"/>
                <w:szCs w:val="28"/>
                <w:lang w:val="en-US" w:eastAsia="zh-CN"/>
              </w:rPr>
              <w:t>项目</w:t>
            </w:r>
            <w:r>
              <w:rPr>
                <w:rFonts w:hint="eastAsia" w:ascii="Times New Roman" w:hAnsi="Times New Roman" w:eastAsia="方正小标宋简体"/>
                <w:bCs/>
                <w:color w:val="000000"/>
                <w:sz w:val="28"/>
                <w:szCs w:val="28"/>
              </w:rPr>
              <w:t>编号</w:t>
            </w:r>
            <w:r>
              <w:rPr>
                <w:rFonts w:ascii="Times New Roman" w:hAnsi="Times New Roman" w:eastAsia="方正小标宋简体"/>
                <w:bCs/>
                <w:color w:val="000000"/>
                <w:sz w:val="28"/>
                <w:szCs w:val="28"/>
              </w:rPr>
              <w:t>：</w:t>
            </w:r>
          </w:p>
        </w:tc>
        <w:tc>
          <w:tcPr>
            <w:tcW w:w="6200" w:type="dxa"/>
            <w:shd w:val="clear" w:color="auto" w:fill="FFFFFF"/>
            <w:noWrap w:val="0"/>
            <w:vAlign w:val="top"/>
          </w:tcPr>
          <w:p w14:paraId="6D2F4A6D">
            <w:pPr>
              <w:spacing w:before="120" w:after="120"/>
              <w:rPr>
                <w:rFonts w:ascii="Times New Roman" w:hAnsi="Times New Roman" w:eastAsia="仿宋"/>
                <w:sz w:val="28"/>
                <w:szCs w:val="28"/>
              </w:rPr>
            </w:pPr>
          </w:p>
        </w:tc>
      </w:tr>
      <w:tr w14:paraId="74D0E7B2">
        <w:tblPrEx>
          <w:shd w:val="clear" w:color="auto" w:fill="FFFFFF"/>
          <w:tblCellMar>
            <w:top w:w="0" w:type="dxa"/>
            <w:left w:w="108" w:type="dxa"/>
            <w:bottom w:w="0" w:type="dxa"/>
            <w:right w:w="108" w:type="dxa"/>
          </w:tblCellMar>
        </w:tblPrEx>
        <w:tc>
          <w:tcPr>
            <w:tcW w:w="2203" w:type="dxa"/>
            <w:shd w:val="clear" w:color="auto" w:fill="FFFFFF"/>
            <w:noWrap w:val="0"/>
            <w:vAlign w:val="center"/>
          </w:tcPr>
          <w:p w14:paraId="575B34FD">
            <w:pPr>
              <w:spacing w:before="120" w:after="120"/>
              <w:jc w:val="right"/>
              <w:rPr>
                <w:rFonts w:ascii="Times New Roman" w:hAnsi="Times New Roman" w:eastAsia="方正小标宋简体"/>
                <w:bCs/>
                <w:color w:val="000000"/>
                <w:sz w:val="28"/>
                <w:szCs w:val="28"/>
              </w:rPr>
            </w:pPr>
            <w:r>
              <w:rPr>
                <w:rFonts w:ascii="Times New Roman" w:hAnsi="Times New Roman" w:eastAsia="方正小标宋简体"/>
                <w:bCs/>
                <w:color w:val="000000"/>
                <w:sz w:val="28"/>
                <w:szCs w:val="28"/>
              </w:rPr>
              <w:t>甲　　方：</w:t>
            </w:r>
          </w:p>
        </w:tc>
        <w:tc>
          <w:tcPr>
            <w:tcW w:w="6200" w:type="dxa"/>
            <w:shd w:val="clear" w:color="auto" w:fill="FFFFFF"/>
            <w:noWrap w:val="0"/>
            <w:vAlign w:val="top"/>
          </w:tcPr>
          <w:p w14:paraId="5EBA0161">
            <w:pPr>
              <w:spacing w:before="120" w:after="120"/>
              <w:rPr>
                <w:rFonts w:ascii="Times New Roman" w:hAnsi="Times New Roman" w:eastAsia="仿宋"/>
                <w:sz w:val="28"/>
                <w:szCs w:val="28"/>
              </w:rPr>
            </w:pPr>
          </w:p>
        </w:tc>
      </w:tr>
      <w:tr w14:paraId="797528A5">
        <w:tblPrEx>
          <w:shd w:val="clear" w:color="auto" w:fill="FFFFFF"/>
          <w:tblCellMar>
            <w:top w:w="0" w:type="dxa"/>
            <w:left w:w="108" w:type="dxa"/>
            <w:bottom w:w="0" w:type="dxa"/>
            <w:right w:w="108" w:type="dxa"/>
          </w:tblCellMar>
        </w:tblPrEx>
        <w:tc>
          <w:tcPr>
            <w:tcW w:w="2203" w:type="dxa"/>
            <w:shd w:val="clear" w:color="auto" w:fill="FFFFFF"/>
            <w:noWrap w:val="0"/>
            <w:vAlign w:val="center"/>
          </w:tcPr>
          <w:p w14:paraId="739FA659">
            <w:pPr>
              <w:spacing w:before="120" w:after="120" w:line="360" w:lineRule="auto"/>
              <w:jc w:val="right"/>
              <w:rPr>
                <w:rFonts w:ascii="Times New Roman" w:hAnsi="Times New Roman" w:eastAsia="方正小标宋简体"/>
                <w:bCs/>
                <w:color w:val="000000"/>
                <w:sz w:val="28"/>
                <w:szCs w:val="28"/>
              </w:rPr>
            </w:pPr>
            <w:r>
              <w:rPr>
                <w:rFonts w:ascii="Times New Roman" w:hAnsi="Times New Roman" w:eastAsia="方正小标宋简体"/>
                <w:bCs/>
                <w:color w:val="000000"/>
                <w:sz w:val="28"/>
                <w:szCs w:val="28"/>
              </w:rPr>
              <w:t>乙　　方：</w:t>
            </w:r>
          </w:p>
        </w:tc>
        <w:tc>
          <w:tcPr>
            <w:tcW w:w="6200" w:type="dxa"/>
            <w:shd w:val="clear" w:color="auto" w:fill="FFFFFF"/>
            <w:noWrap w:val="0"/>
            <w:vAlign w:val="top"/>
          </w:tcPr>
          <w:p w14:paraId="155009A3">
            <w:pPr>
              <w:spacing w:before="120" w:after="120"/>
              <w:rPr>
                <w:rFonts w:hint="eastAsia" w:ascii="Times New Roman" w:hAnsi="Times New Roman"/>
                <w:color w:val="FF0000"/>
                <w:sz w:val="28"/>
                <w:szCs w:val="28"/>
                <w:u w:val="single"/>
              </w:rPr>
            </w:pPr>
          </w:p>
        </w:tc>
      </w:tr>
    </w:tbl>
    <w:p w14:paraId="7D62ED2F">
      <w:pPr>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br w:type="page"/>
      </w:r>
    </w:p>
    <w:p w14:paraId="1B5D2B8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4406CD0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w:t>
      </w:r>
      <w:r>
        <w:rPr>
          <w:rFonts w:hint="eastAsia" w:ascii="仿宋_GB2312" w:hAnsi="仿宋_GB2312" w:eastAsia="仿宋_GB2312" w:cs="仿宋_GB2312"/>
          <w:bCs/>
          <w:sz w:val="28"/>
          <w:szCs w:val="28"/>
          <w:lang w:eastAsia="zh-CN"/>
        </w:rPr>
        <w:t>成交供应商</w:t>
      </w:r>
      <w:r>
        <w:rPr>
          <w:rFonts w:hint="eastAsia" w:ascii="仿宋_GB2312" w:hAnsi="仿宋_GB2312" w:eastAsia="仿宋_GB2312" w:cs="仿宋_GB2312"/>
          <w:bCs/>
          <w:sz w:val="28"/>
          <w:szCs w:val="28"/>
        </w:rPr>
        <w:t xml:space="preserve">）： </w:t>
      </w:r>
    </w:p>
    <w:p w14:paraId="2A0527FE">
      <w:pPr>
        <w:keepNext w:val="0"/>
        <w:keepLines w:val="0"/>
        <w:pageBreakBefore w:val="0"/>
        <w:widowControl w:val="0"/>
        <w:kinsoku/>
        <w:wordWrap w:val="0"/>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u w:val="single"/>
          <w:lang w:val="en-US" w:eastAsia="zh-CN"/>
        </w:rPr>
        <w:t>西安高新区2025年企业技术改造提升综合服务项目（</w:t>
      </w:r>
      <w:r>
        <w:rPr>
          <w:rFonts w:hint="eastAsia" w:ascii="仿宋_GB2312" w:hAnsi="仿宋_GB2312" w:eastAsia="仿宋_GB2312" w:cs="仿宋_GB2312"/>
          <w:bCs/>
          <w:sz w:val="28"/>
          <w:szCs w:val="28"/>
          <w:u w:val="single"/>
          <w:lang w:val="en-US" w:eastAsia="zh-Hans"/>
        </w:rPr>
        <w:t>项目编号：</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lang w:val="en-US" w:eastAsia="zh-Hans"/>
        </w:rPr>
        <w:t>)</w:t>
      </w:r>
      <w:r>
        <w:rPr>
          <w:rFonts w:hint="eastAsia" w:ascii="仿宋_GB2312" w:hAnsi="仿宋_GB2312" w:eastAsia="仿宋_GB2312" w:cs="仿宋_GB2312"/>
          <w:bCs/>
          <w:sz w:val="28"/>
          <w:szCs w:val="28"/>
          <w:lang w:val="en-US" w:eastAsia="zh-Hans"/>
        </w:rPr>
        <w:t>，由陕西华采招标有限公司组织</w:t>
      </w:r>
      <w:r>
        <w:rPr>
          <w:rFonts w:hint="eastAsia" w:ascii="仿宋_GB2312" w:hAnsi="仿宋_GB2312" w:eastAsia="仿宋_GB2312" w:cs="仿宋_GB2312"/>
          <w:bCs/>
          <w:sz w:val="28"/>
          <w:szCs w:val="28"/>
          <w:lang w:val="en-US" w:eastAsia="zh-CN"/>
        </w:rPr>
        <w:t>竞争性磋商</w:t>
      </w:r>
      <w:r>
        <w:rPr>
          <w:rFonts w:hint="eastAsia" w:ascii="仿宋_GB2312" w:hAnsi="仿宋_GB2312" w:eastAsia="仿宋_GB2312" w:cs="仿宋_GB2312"/>
          <w:bCs/>
          <w:sz w:val="28"/>
          <w:szCs w:val="28"/>
          <w:lang w:val="en-US" w:eastAsia="zh-Hans"/>
        </w:rPr>
        <w:t>，</w:t>
      </w:r>
      <w:r>
        <w:rPr>
          <w:rFonts w:hint="eastAsia" w:ascii="仿宋_GB2312" w:hAnsi="仿宋_GB2312" w:eastAsia="仿宋_GB2312" w:cs="仿宋_GB2312"/>
          <w:bCs/>
          <w:sz w:val="28"/>
          <w:szCs w:val="28"/>
          <w:u w:val="single"/>
          <w:lang w:val="en-US" w:eastAsia="zh-Hans"/>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以下简称“甲方”</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val="en-US" w:eastAsia="zh-Hans"/>
        </w:rPr>
        <w:t>确定</w:t>
      </w:r>
      <w:r>
        <w:rPr>
          <w:rFonts w:hint="eastAsia" w:ascii="仿宋_GB2312" w:hAnsi="仿宋_GB2312" w:eastAsia="仿宋_GB2312" w:cs="仿宋_GB2312"/>
          <w:bCs/>
          <w:sz w:val="28"/>
          <w:szCs w:val="28"/>
          <w:u w:val="single"/>
          <w:lang w:val="en-US" w:eastAsia="zh-Hans"/>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lang w:val="en-US" w:eastAsia="zh-Hans"/>
        </w:rPr>
        <w:t>（以下简称“乙方”）为该项目的</w:t>
      </w:r>
      <w:r>
        <w:rPr>
          <w:rFonts w:hint="eastAsia" w:ascii="仿宋_GB2312" w:hAnsi="仿宋_GB2312" w:eastAsia="仿宋_GB2312" w:cs="仿宋_GB2312"/>
          <w:bCs/>
          <w:sz w:val="28"/>
          <w:szCs w:val="28"/>
          <w:lang w:val="en-US" w:eastAsia="zh-CN"/>
        </w:rPr>
        <w:t>成交供应商</w:t>
      </w:r>
      <w:r>
        <w:rPr>
          <w:rFonts w:hint="eastAsia" w:ascii="仿宋_GB2312" w:hAnsi="仿宋_GB2312" w:eastAsia="仿宋_GB2312" w:cs="仿宋_GB2312"/>
          <w:bCs/>
          <w:sz w:val="28"/>
          <w:szCs w:val="28"/>
          <w:lang w:val="en-US" w:eastAsia="zh-Hans"/>
        </w:rPr>
        <w:t>。</w:t>
      </w:r>
      <w:bookmarkStart w:id="2" w:name="_GoBack"/>
      <w:bookmarkEnd w:id="2"/>
    </w:p>
    <w:p w14:paraId="11457B7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Hans"/>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lang w:val="en-US" w:eastAsia="zh-Hans"/>
        </w:rPr>
        <w:t>》和《中华人民共和国政府采购法》之规定，经双方在平等、自愿、互利的基础上，签订本合同，共同信守。</w:t>
      </w:r>
    </w:p>
    <w:p w14:paraId="398AD4D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CN"/>
        </w:rPr>
      </w:pPr>
      <w:r>
        <w:rPr>
          <w:rFonts w:hint="eastAsia" w:ascii="仿宋_GB2312" w:hAnsi="仿宋_GB2312" w:eastAsia="仿宋_GB2312" w:cs="仿宋_GB2312"/>
          <w:b/>
          <w:bCs w:val="0"/>
          <w:sz w:val="28"/>
          <w:szCs w:val="28"/>
          <w:lang w:val="en-US" w:eastAsia="zh-CN"/>
        </w:rPr>
        <w:t>一、合同内容</w:t>
      </w:r>
    </w:p>
    <w:p w14:paraId="56A44DF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zh-CN" w:eastAsia="zh-CN"/>
        </w:rPr>
        <w:t>（</w:t>
      </w:r>
      <w:r>
        <w:rPr>
          <w:rFonts w:hint="eastAsia" w:ascii="仿宋_GB2312" w:hAnsi="仿宋_GB2312" w:eastAsia="仿宋_GB2312" w:cs="仿宋_GB2312"/>
          <w:sz w:val="28"/>
          <w:szCs w:val="28"/>
          <w:highlight w:val="none"/>
          <w:lang w:val="en-US" w:eastAsia="zh-CN"/>
        </w:rPr>
        <w:t>一</w:t>
      </w:r>
      <w:r>
        <w:rPr>
          <w:rFonts w:hint="eastAsia" w:ascii="仿宋_GB2312" w:hAnsi="仿宋_GB2312" w:eastAsia="仿宋_GB2312" w:cs="仿宋_GB2312"/>
          <w:sz w:val="28"/>
          <w:szCs w:val="28"/>
          <w:highlight w:val="none"/>
          <w:lang w:val="zh-CN" w:eastAsia="zh-CN"/>
        </w:rPr>
        <w:t>）</w:t>
      </w:r>
      <w:r>
        <w:rPr>
          <w:rFonts w:hint="eastAsia" w:ascii="仿宋_GB2312" w:hAnsi="仿宋_GB2312" w:eastAsia="仿宋_GB2312" w:cs="仿宋_GB2312"/>
          <w:sz w:val="28"/>
          <w:szCs w:val="28"/>
          <w:highlight w:val="none"/>
          <w:lang w:val="en-US" w:eastAsia="zh-CN"/>
        </w:rPr>
        <w:t>服务内容</w:t>
      </w:r>
    </w:p>
    <w:p w14:paraId="5C9173F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乙方作为“企业技术改造提升综合服务”项目成交供应商，主要配合甲方做好以下工作：</w:t>
      </w:r>
    </w:p>
    <w:p w14:paraId="1B951C3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1、安排至少2人负责工业投资、工业技改、企业固定资产投资（技改类）项目日常的统计、整理、催报；至少6人进行区内企业摸底调研，收集、整理企业项目投资信息，汇总、分析、报送；</w:t>
      </w:r>
    </w:p>
    <w:p w14:paraId="1143C2B0">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2、每季度形成固投（技改类）统计报告，并预计下季度技改投资情况，根据实时情况提出工作措施，做好预警工作；完成年度高新区本项工作的统计分析报告；</w:t>
      </w:r>
    </w:p>
    <w:p w14:paraId="2D8AE99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3、对有技术更新改造项目的企业，按照市统计局固定资产投资入库的资料要求，协助企业进行技改项目资料的收集，报区发改局审核入库；</w:t>
      </w:r>
    </w:p>
    <w:p w14:paraId="0C7E55A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4、对已入库的企业，及时督促并收集企业报送的技改项目固定资产投资数据统计报表及相关资料；督促企业报送全年报表及区发改局要求的其他报表及资料；</w:t>
      </w:r>
    </w:p>
    <w:p w14:paraId="01152DA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5、对全年统计工作中出现的异常情况提出相应的应对措施并落实；</w:t>
      </w:r>
    </w:p>
    <w:p w14:paraId="04FCE3C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6、组织区内企业进行培训，多渠道开展统计工作和政策宣传，全年不少于3次；</w:t>
      </w:r>
    </w:p>
    <w:p w14:paraId="017919C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7、开展“两重两新”、地方政府专项债、省市有关支持政策以及高新区普惠政策等各级政策的宣贯，指导服务和专题培训，组织并协助企业及时进行政策申报；</w:t>
      </w:r>
    </w:p>
    <w:p w14:paraId="403392A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8、完成高新区工信局企业固定资产投资（技改类）工作任务。</w:t>
      </w:r>
    </w:p>
    <w:p w14:paraId="5809EB7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（二）服务期限：自合同签订之日起</w:t>
      </w:r>
      <w:r>
        <w:rPr>
          <w:rFonts w:hint="eastAsia" w:ascii="仿宋_GB2312" w:hAnsi="仿宋_GB2312" w:eastAsia="仿宋_GB2312" w:cs="仿宋_GB2312"/>
          <w:sz w:val="28"/>
          <w:szCs w:val="28"/>
          <w:highlight w:val="none"/>
          <w:lang w:val="en-US" w:eastAsia="zh-CN"/>
        </w:rPr>
        <w:t>1年</w:t>
      </w:r>
      <w:r>
        <w:rPr>
          <w:rFonts w:hint="eastAsia" w:ascii="仿宋_GB2312" w:hAnsi="仿宋_GB2312" w:eastAsia="仿宋_GB2312" w:cs="仿宋_GB2312"/>
          <w:sz w:val="28"/>
          <w:szCs w:val="28"/>
          <w:highlight w:val="none"/>
        </w:rPr>
        <w:t>。</w:t>
      </w:r>
    </w:p>
    <w:p w14:paraId="1F8F42B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（三）实施地点：</w:t>
      </w:r>
      <w:r>
        <w:rPr>
          <w:rFonts w:hint="eastAsia" w:ascii="仿宋_GB2312" w:hAnsi="仿宋_GB2312" w:eastAsia="仿宋_GB2312" w:cs="仿宋_GB2312"/>
          <w:sz w:val="28"/>
          <w:szCs w:val="28"/>
          <w:highlight w:val="none"/>
          <w:lang w:val="en-US" w:eastAsia="zh-CN"/>
        </w:rPr>
        <w:t>西安高新区范围内，具体以甲方指定地点为准。</w:t>
      </w:r>
    </w:p>
    <w:p w14:paraId="23E4913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
          <w:bCs w:val="0"/>
          <w:sz w:val="28"/>
          <w:szCs w:val="28"/>
          <w:lang w:val="en-US" w:eastAsia="zh-Hans"/>
        </w:rPr>
        <w:t>二、</w:t>
      </w:r>
      <w:r>
        <w:rPr>
          <w:rFonts w:hint="eastAsia" w:ascii="仿宋_GB2312" w:hAnsi="仿宋_GB2312" w:eastAsia="仿宋_GB2312" w:cs="仿宋_GB2312"/>
          <w:b/>
          <w:bCs w:val="0"/>
          <w:sz w:val="28"/>
          <w:szCs w:val="28"/>
          <w:lang w:val="en-US" w:eastAsia="zh-CN"/>
        </w:rPr>
        <w:t>合同价款</w:t>
      </w:r>
    </w:p>
    <w:p w14:paraId="3E328CF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bookmarkStart w:id="0" w:name="_Toc18752"/>
      <w:bookmarkStart w:id="1" w:name="_Toc4603"/>
      <w:r>
        <w:rPr>
          <w:rFonts w:hint="eastAsia" w:ascii="仿宋_GB2312" w:hAnsi="仿宋_GB2312" w:eastAsia="仿宋_GB2312" w:cs="仿宋_GB2312"/>
          <w:sz w:val="28"/>
          <w:szCs w:val="28"/>
          <w:highlight w:val="none"/>
        </w:rPr>
        <w:t>（一）合同总价款为人民币（大写）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p>
    <w:p w14:paraId="1D0D3F5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w:t>
      </w:r>
      <w:r>
        <w:rPr>
          <w:rFonts w:hint="eastAsia" w:ascii="仿宋_GB2312" w:hAnsi="仿宋_GB2312" w:eastAsia="仿宋_GB2312" w:cs="仿宋_GB2312"/>
          <w:bCs/>
          <w:sz w:val="28"/>
          <w:szCs w:val="28"/>
          <w:highlight w:val="none"/>
        </w:rPr>
        <w:t>合同总价</w:t>
      </w:r>
      <w:r>
        <w:rPr>
          <w:rFonts w:hint="eastAsia" w:ascii="仿宋_GB2312" w:hAnsi="仿宋_GB2312" w:eastAsia="仿宋_GB2312" w:cs="仿宋_GB2312"/>
          <w:bCs/>
          <w:sz w:val="28"/>
          <w:szCs w:val="28"/>
          <w:highlight w:val="none"/>
          <w:lang w:val="en-US" w:eastAsia="zh-CN"/>
        </w:rPr>
        <w:t>包括</w:t>
      </w:r>
      <w:r>
        <w:rPr>
          <w:rFonts w:hint="eastAsia" w:ascii="仿宋_GB2312" w:hAnsi="仿宋_GB2312" w:eastAsia="仿宋_GB2312" w:cs="仿宋_GB2312"/>
          <w:bCs/>
          <w:sz w:val="28"/>
          <w:szCs w:val="28"/>
          <w:highlight w:val="none"/>
        </w:rPr>
        <w:t>但不限于人工费、材料费、交通费、专家费、</w:t>
      </w:r>
      <w:r>
        <w:rPr>
          <w:rFonts w:hint="eastAsia" w:ascii="仿宋_GB2312" w:hAnsi="仿宋_GB2312" w:eastAsia="仿宋_GB2312" w:cs="仿宋_GB2312"/>
          <w:bCs/>
          <w:sz w:val="28"/>
          <w:szCs w:val="28"/>
          <w:highlight w:val="none"/>
          <w:lang w:eastAsia="zh-Hans"/>
        </w:rPr>
        <w:t>培训</w:t>
      </w:r>
      <w:r>
        <w:rPr>
          <w:rFonts w:hint="eastAsia" w:ascii="仿宋_GB2312" w:hAnsi="仿宋_GB2312" w:eastAsia="仿宋_GB2312" w:cs="仿宋_GB2312"/>
          <w:bCs/>
          <w:sz w:val="28"/>
          <w:szCs w:val="28"/>
          <w:highlight w:val="none"/>
        </w:rPr>
        <w:t>费、管理费、税金、</w:t>
      </w:r>
      <w:r>
        <w:rPr>
          <w:rFonts w:hint="eastAsia" w:ascii="仿宋_GB2312" w:hAnsi="仿宋_GB2312" w:eastAsia="仿宋_GB2312" w:cs="仿宋_GB2312"/>
          <w:bCs/>
          <w:sz w:val="28"/>
          <w:szCs w:val="28"/>
          <w:highlight w:val="none"/>
          <w:lang w:val="zh-CN"/>
        </w:rPr>
        <w:t>劳务人员福利费及其它费用</w:t>
      </w:r>
      <w:r>
        <w:rPr>
          <w:rFonts w:hint="eastAsia" w:ascii="仿宋_GB2312" w:hAnsi="仿宋_GB2312" w:eastAsia="仿宋_GB2312" w:cs="仿宋_GB2312"/>
          <w:color w:val="auto"/>
          <w:sz w:val="28"/>
          <w:szCs w:val="28"/>
          <w:highlight w:val="none"/>
          <w:lang w:val="en-US" w:eastAsia="zh-CN"/>
        </w:rPr>
        <w:t>。</w:t>
      </w:r>
    </w:p>
    <w:p w14:paraId="30B9F9B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rPr>
        <w:t>、款项结算</w:t>
      </w:r>
    </w:p>
    <w:p w14:paraId="253A683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 xml:space="preserve">（一）款项支付: </w:t>
      </w:r>
    </w:p>
    <w:p w14:paraId="03A4DD4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val="en-US" w:eastAsia="zh-CN"/>
        </w:rPr>
        <w:t>1、自合同签订之日起</w:t>
      </w:r>
      <w:r>
        <w:rPr>
          <w:rFonts w:hint="eastAsia" w:ascii="仿宋_GB2312" w:hAnsi="仿宋_GB2312" w:eastAsia="仿宋_GB2312" w:cs="仿宋_GB2312"/>
          <w:sz w:val="28"/>
          <w:szCs w:val="28"/>
          <w:highlight w:val="none"/>
          <w:lang w:eastAsia="zh-CN"/>
        </w:rPr>
        <w:t>，支付合同总</w:t>
      </w:r>
      <w:r>
        <w:rPr>
          <w:rFonts w:hint="eastAsia" w:ascii="仿宋_GB2312" w:hAnsi="仿宋_GB2312" w:eastAsia="仿宋_GB2312" w:cs="仿宋_GB2312"/>
          <w:sz w:val="28"/>
          <w:szCs w:val="28"/>
          <w:highlight w:val="none"/>
          <w:lang w:val="en-US" w:eastAsia="zh-CN"/>
        </w:rPr>
        <w:t>金额</w:t>
      </w:r>
      <w:r>
        <w:rPr>
          <w:rFonts w:hint="eastAsia" w:ascii="仿宋_GB2312" w:hAnsi="仿宋_GB2312" w:eastAsia="仿宋_GB2312" w:cs="仿宋_GB2312"/>
          <w:sz w:val="28"/>
          <w:szCs w:val="28"/>
          <w:highlight w:val="none"/>
          <w:lang w:eastAsia="zh-CN"/>
        </w:rPr>
        <w:t>的</w:t>
      </w:r>
      <w:r>
        <w:rPr>
          <w:rFonts w:hint="eastAsia" w:ascii="仿宋_GB2312" w:hAnsi="仿宋_GB2312" w:eastAsia="仿宋_GB2312" w:cs="仿宋_GB2312"/>
          <w:sz w:val="28"/>
          <w:szCs w:val="28"/>
          <w:highlight w:val="none"/>
          <w:lang w:val="en-US" w:eastAsia="zh-CN"/>
        </w:rPr>
        <w:t>4</w:t>
      </w:r>
      <w:r>
        <w:rPr>
          <w:rFonts w:hint="eastAsia" w:ascii="仿宋_GB2312" w:hAnsi="仿宋_GB2312" w:eastAsia="仿宋_GB2312" w:cs="仿宋_GB2312"/>
          <w:sz w:val="28"/>
          <w:szCs w:val="28"/>
          <w:highlight w:val="none"/>
          <w:lang w:eastAsia="zh-CN"/>
        </w:rPr>
        <w:t>0%；</w:t>
      </w:r>
    </w:p>
    <w:p w14:paraId="294CFB5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val="en-US" w:eastAsia="zh-CN"/>
        </w:rPr>
      </w:pPr>
      <w:r>
        <w:rPr>
          <w:rFonts w:hint="eastAsia" w:ascii="仿宋_GB2312" w:hAnsi="仿宋_GB2312" w:eastAsia="仿宋_GB2312" w:cs="仿宋_GB2312"/>
          <w:sz w:val="28"/>
          <w:szCs w:val="28"/>
          <w:highlight w:val="none"/>
          <w:lang w:val="en-US" w:eastAsia="zh-CN"/>
        </w:rPr>
        <w:t>2、服务期满6个月且服务良好</w:t>
      </w:r>
      <w:r>
        <w:rPr>
          <w:rFonts w:hint="eastAsia" w:ascii="仿宋_GB2312" w:hAnsi="仿宋_GB2312" w:eastAsia="仿宋_GB2312" w:cs="仿宋_GB2312"/>
          <w:sz w:val="28"/>
          <w:szCs w:val="28"/>
          <w:highlight w:val="none"/>
          <w:lang w:eastAsia="zh-CN"/>
        </w:rPr>
        <w:t>，支付合同总</w:t>
      </w:r>
      <w:r>
        <w:rPr>
          <w:rFonts w:hint="eastAsia" w:ascii="仿宋_GB2312" w:hAnsi="仿宋_GB2312" w:eastAsia="仿宋_GB2312" w:cs="仿宋_GB2312"/>
          <w:sz w:val="28"/>
          <w:szCs w:val="28"/>
          <w:highlight w:val="none"/>
          <w:lang w:val="en-US" w:eastAsia="zh-CN"/>
        </w:rPr>
        <w:t>金额</w:t>
      </w:r>
      <w:r>
        <w:rPr>
          <w:rFonts w:hint="eastAsia" w:ascii="仿宋_GB2312" w:hAnsi="仿宋_GB2312" w:eastAsia="仿宋_GB2312" w:cs="仿宋_GB2312"/>
          <w:sz w:val="28"/>
          <w:szCs w:val="28"/>
          <w:highlight w:val="none"/>
          <w:lang w:eastAsia="zh-CN"/>
        </w:rPr>
        <w:t>的</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0%；</w:t>
      </w:r>
    </w:p>
    <w:p w14:paraId="3810E0D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3、服务期满12个月且服务良好，</w:t>
      </w:r>
      <w:r>
        <w:rPr>
          <w:rFonts w:hint="eastAsia" w:ascii="仿宋_GB2312" w:hAnsi="仿宋_GB2312" w:eastAsia="仿宋_GB2312" w:cs="仿宋_GB2312"/>
          <w:sz w:val="28"/>
          <w:szCs w:val="28"/>
          <w:highlight w:val="none"/>
          <w:lang w:eastAsia="zh-CN"/>
        </w:rPr>
        <w:t>支付合同总</w:t>
      </w:r>
      <w:r>
        <w:rPr>
          <w:rFonts w:hint="eastAsia" w:ascii="仿宋_GB2312" w:hAnsi="仿宋_GB2312" w:eastAsia="仿宋_GB2312" w:cs="仿宋_GB2312"/>
          <w:sz w:val="28"/>
          <w:szCs w:val="28"/>
          <w:highlight w:val="none"/>
          <w:lang w:val="en-US" w:eastAsia="zh-CN"/>
        </w:rPr>
        <w:t>金额</w:t>
      </w:r>
      <w:r>
        <w:rPr>
          <w:rFonts w:hint="eastAsia" w:ascii="仿宋_GB2312" w:hAnsi="仿宋_GB2312" w:eastAsia="仿宋_GB2312" w:cs="仿宋_GB2312"/>
          <w:sz w:val="28"/>
          <w:szCs w:val="28"/>
          <w:highlight w:val="none"/>
          <w:lang w:eastAsia="zh-CN"/>
        </w:rPr>
        <w:t>的</w:t>
      </w:r>
      <w:r>
        <w:rPr>
          <w:rFonts w:hint="eastAsia" w:ascii="仿宋_GB2312" w:hAnsi="仿宋_GB2312" w:eastAsia="仿宋_GB2312" w:cs="仿宋_GB2312"/>
          <w:sz w:val="28"/>
          <w:szCs w:val="28"/>
          <w:highlight w:val="none"/>
          <w:lang w:val="en-US" w:eastAsia="zh-CN"/>
        </w:rPr>
        <w:t>3</w:t>
      </w:r>
      <w:r>
        <w:rPr>
          <w:rFonts w:hint="eastAsia" w:ascii="仿宋_GB2312" w:hAnsi="仿宋_GB2312" w:eastAsia="仿宋_GB2312" w:cs="仿宋_GB2312"/>
          <w:sz w:val="28"/>
          <w:szCs w:val="28"/>
          <w:highlight w:val="none"/>
          <w:lang w:eastAsia="zh-CN"/>
        </w:rPr>
        <w:t>0%。</w:t>
      </w:r>
    </w:p>
    <w:p w14:paraId="7AEBAFE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由西安高新区财政局见甲方书面意见后按进度支付有关款项，发票直开“西安高新技术产业开发区管理委员会”</w:t>
      </w:r>
      <w:r>
        <w:rPr>
          <w:rFonts w:hint="eastAsia" w:ascii="仿宋_GB2312" w:hAnsi="仿宋_GB2312" w:eastAsia="仿宋_GB2312" w:cs="仿宋_GB2312"/>
          <w:sz w:val="28"/>
          <w:szCs w:val="28"/>
          <w:highlight w:val="none"/>
          <w:lang w:eastAsia="zh-CN"/>
        </w:rPr>
        <w:t>。</w:t>
      </w:r>
    </w:p>
    <w:p w14:paraId="3A73DDA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（二）支付方式：甲方以电子转账方式支付。</w:t>
      </w:r>
    </w:p>
    <w:p w14:paraId="7231BF2B">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default"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eastAsia="zh-CN"/>
        </w:rPr>
        <w:t>四</w:t>
      </w:r>
      <w:r>
        <w:rPr>
          <w:rFonts w:hint="eastAsia" w:ascii="仿宋_GB2312" w:hAnsi="仿宋_GB2312" w:eastAsia="仿宋_GB2312" w:cs="仿宋_GB2312"/>
          <w:b/>
          <w:bCs/>
          <w:sz w:val="28"/>
          <w:szCs w:val="28"/>
          <w:highlight w:val="none"/>
        </w:rPr>
        <w:t>、服务</w:t>
      </w:r>
      <w:r>
        <w:rPr>
          <w:rFonts w:hint="eastAsia" w:ascii="仿宋_GB2312" w:hAnsi="仿宋_GB2312" w:eastAsia="仿宋_GB2312" w:cs="仿宋_GB2312"/>
          <w:b/>
          <w:bCs/>
          <w:sz w:val="28"/>
          <w:szCs w:val="28"/>
          <w:highlight w:val="none"/>
          <w:lang w:val="en-US" w:eastAsia="zh-CN"/>
        </w:rPr>
        <w:t>质量保证</w:t>
      </w:r>
    </w:p>
    <w:p w14:paraId="46DF4F6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（一）服务要求</w:t>
      </w:r>
    </w:p>
    <w:p w14:paraId="0736E064">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根据安全保密以及服务质量的要求，指派具有专业水平的人员，做好区内企业投资的摸底调研、收集整理；企业项目投资信息的汇总、分析、报送，并在每季度形成分析报告；服从甲方工作安排，遵守西安高新区管委会的各项规章制度。</w:t>
      </w:r>
    </w:p>
    <w:p w14:paraId="13B8F48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（二）知识产权</w:t>
      </w:r>
    </w:p>
    <w:p w14:paraId="6652737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 xml:space="preserve">1、本项目所涉及到的所有成果的知识产权归甲方所有。 </w:t>
      </w:r>
    </w:p>
    <w:p w14:paraId="0C363E4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 xml:space="preserve">2、乙方无论出于任何目的如在其它场合使用该成果，必须经甲方同意方可使用。否则，甲方有权要求终止涉及到该知识产权的任何使用活动并保留追究卖方相应法律责任的权利。 </w:t>
      </w:r>
    </w:p>
    <w:p w14:paraId="0F38F6C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3、乙方为执行本合同而提供的技术资料使用权归甲方所有。</w:t>
      </w:r>
    </w:p>
    <w:p w14:paraId="72F3C3A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（三）其他要求</w:t>
      </w:r>
    </w:p>
    <w:p w14:paraId="13D3C87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1、因公外出时（西安市范围内），乙方保证常驻服务人员快速到达现场，所产生的所有费用由乙方承担。</w:t>
      </w:r>
    </w:p>
    <w:p w14:paraId="09A08AD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2、乙方应提供服务人员相关办公设备及耗材，如办公台式机或笔记本电脑。</w:t>
      </w:r>
    </w:p>
    <w:p w14:paraId="7D22414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3、乙方服从安排，完成甲方交办的工作任务。</w:t>
      </w:r>
    </w:p>
    <w:p w14:paraId="613B868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4、乙方需派一名项目负责人，直接与甲方沟通，项目负责人接收甲方提出的问题与要求，并及时反馈给工作组，解决在项目实施过程中遇到的问题。</w:t>
      </w:r>
    </w:p>
    <w:p w14:paraId="37E9275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5、项目在实施过程中会出现不可预料的需求变更，乙方需积极配合甲方的需求变更，并按照变更后的需求继续进行方案实施。</w:t>
      </w:r>
    </w:p>
    <w:p w14:paraId="2735DBF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val="en-US" w:eastAsia="zh-CN"/>
        </w:rPr>
      </w:pPr>
      <w:r>
        <w:rPr>
          <w:rFonts w:hint="eastAsia" w:ascii="仿宋_GB2312" w:hAnsi="仿宋_GB2312" w:eastAsia="仿宋_GB2312" w:cs="仿宋_GB2312"/>
          <w:bCs/>
          <w:sz w:val="28"/>
          <w:szCs w:val="28"/>
          <w:highlight w:val="none"/>
          <w:lang w:val="en-US" w:eastAsia="zh-CN"/>
        </w:rPr>
        <w:t>6、乙方需提交所有实施方案流程及说明文档。</w:t>
      </w:r>
    </w:p>
    <w:p w14:paraId="1C759D6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Cs/>
          <w:sz w:val="28"/>
          <w:szCs w:val="28"/>
          <w:highlight w:val="none"/>
          <w:lang w:val="en-US" w:eastAsia="zh-CN"/>
        </w:rPr>
        <w:t>7、乙方需建立高效的管理团队，项目团队组成合理。</w:t>
      </w:r>
    </w:p>
    <w:p w14:paraId="3422999E">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eastAsia="zh-CN"/>
        </w:rPr>
        <w:t>五</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bCs/>
          <w:sz w:val="28"/>
          <w:szCs w:val="28"/>
          <w:highlight w:val="none"/>
          <w:lang w:val="en-US" w:eastAsia="zh-CN"/>
        </w:rPr>
        <w:t>甲方权利和义务</w:t>
      </w:r>
      <w:r>
        <w:rPr>
          <w:rFonts w:hint="eastAsia" w:ascii="仿宋_GB2312" w:hAnsi="仿宋_GB2312" w:eastAsia="仿宋_GB2312" w:cs="仿宋_GB2312"/>
          <w:sz w:val="28"/>
          <w:szCs w:val="28"/>
          <w:highlight w:val="none"/>
          <w:lang w:val="en-US" w:eastAsia="zh-CN"/>
        </w:rPr>
        <w:t xml:space="preserve"> </w:t>
      </w:r>
    </w:p>
    <w:p w14:paraId="339BA95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（一）甲方负责按本合同的约定向乙方支付合同价款。</w:t>
      </w:r>
    </w:p>
    <w:p w14:paraId="1AF861F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（二）甲方依据服务合同对乙方的工作进行督促、检查和考核。</w:t>
      </w:r>
    </w:p>
    <w:p w14:paraId="4ED74E9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（三）甲方若认为乙方履行合同不力严重影响项目进度，甲方有权要求更换乙方主要人员，直至终止合同。</w:t>
      </w:r>
    </w:p>
    <w:p w14:paraId="58B9586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（四）甲方支持乙方的工作，按合同保证乙方责任和权力的统一。</w:t>
      </w:r>
    </w:p>
    <w:p w14:paraId="377F292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（五）甲方负责向乙方提供本合同规定的服务工作所需的办公场所、为乙方服务提供便利；同时提供必要的文本、资料和数据等材料。</w:t>
      </w:r>
    </w:p>
    <w:p w14:paraId="10C0FB5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（六）甲方负责协调项目外部条件及与地方的关系。 </w:t>
      </w:r>
    </w:p>
    <w:p w14:paraId="573DD1C1">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val="en-US" w:eastAsia="zh-CN"/>
        </w:rPr>
        <w:t>六、乙方权利和义务</w:t>
      </w:r>
      <w:r>
        <w:rPr>
          <w:rFonts w:hint="eastAsia" w:ascii="仿宋_GB2312" w:hAnsi="仿宋_GB2312" w:eastAsia="仿宋_GB2312" w:cs="仿宋_GB2312"/>
          <w:sz w:val="28"/>
          <w:szCs w:val="28"/>
          <w:highlight w:val="none"/>
          <w:lang w:val="en-US" w:eastAsia="zh-CN"/>
        </w:rPr>
        <w:t xml:space="preserve"> </w:t>
      </w:r>
    </w:p>
    <w:p w14:paraId="0821FFB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（一）乙方拥有合同中规定的权力，并承担相应全部责任。</w:t>
      </w:r>
    </w:p>
    <w:p w14:paraId="28C36A4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（二）乙方的工作人员必须严格遵守甲方的规章制度，以良好的形象和积极的工作态度，按甲方要求开展工作。</w:t>
      </w:r>
    </w:p>
    <w:p w14:paraId="59844B1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（三）乙方必须具有履行本合同书所需的技能、谨慎与勤奋，必须按照相关的职业准则完成其全部职责。</w:t>
      </w:r>
    </w:p>
    <w:p w14:paraId="0BDD064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（四）在服务过程中甲方如需另聘专家咨询或协助，在服务责任以内发生的费用，由乙方承担。</w:t>
      </w:r>
    </w:p>
    <w:p w14:paraId="34DB7CA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（五）乙方负责服务期间的人员安全问题（含财产安全及人身安全等），甲方不承担工伤事故责任。</w:t>
      </w:r>
    </w:p>
    <w:p w14:paraId="3C52D82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lang w:val="en-US" w:eastAsia="zh-CN"/>
        </w:rPr>
        <w:t xml:space="preserve">（六）乙方不得将本项目转让、分包给其它单位或个人。 </w:t>
      </w:r>
    </w:p>
    <w:p w14:paraId="03D6310C">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七</w:t>
      </w:r>
      <w:r>
        <w:rPr>
          <w:rFonts w:hint="eastAsia" w:ascii="仿宋_GB2312" w:hAnsi="仿宋_GB2312" w:eastAsia="仿宋_GB2312" w:cs="仿宋_GB2312"/>
          <w:b/>
          <w:sz w:val="28"/>
          <w:szCs w:val="28"/>
          <w:highlight w:val="none"/>
        </w:rPr>
        <w:t>、</w:t>
      </w:r>
      <w:r>
        <w:rPr>
          <w:rFonts w:hint="eastAsia" w:ascii="仿宋_GB2312" w:hAnsi="仿宋_GB2312" w:eastAsia="仿宋_GB2312" w:cs="仿宋_GB2312"/>
          <w:b/>
          <w:sz w:val="28"/>
          <w:szCs w:val="28"/>
          <w:highlight w:val="none"/>
          <w:lang w:val="en-US" w:eastAsia="zh-CN"/>
        </w:rPr>
        <w:t>监督检查</w:t>
      </w:r>
    </w:p>
    <w:p w14:paraId="16F815C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Cs/>
          <w:sz w:val="28"/>
          <w:szCs w:val="28"/>
          <w:highlight w:val="none"/>
        </w:rPr>
        <w:t>西安高新区工业和信息化局，对本合同的执行情况进行监督检查，乙方应在甲方要求下积极配合。</w:t>
      </w:r>
    </w:p>
    <w:p w14:paraId="0C7132D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lang w:val="en-US" w:eastAsia="zh-Hans"/>
        </w:rPr>
      </w:pPr>
      <w:r>
        <w:rPr>
          <w:rFonts w:hint="eastAsia" w:ascii="仿宋_GB2312" w:hAnsi="仿宋_GB2312" w:eastAsia="仿宋_GB2312" w:cs="仿宋_GB2312"/>
          <w:b/>
          <w:bCs w:val="0"/>
          <w:sz w:val="28"/>
          <w:szCs w:val="28"/>
          <w:lang w:val="en-US" w:eastAsia="zh-CN"/>
        </w:rPr>
        <w:t>八</w:t>
      </w:r>
      <w:r>
        <w:rPr>
          <w:rFonts w:hint="eastAsia" w:ascii="仿宋_GB2312" w:hAnsi="仿宋_GB2312" w:eastAsia="仿宋_GB2312" w:cs="仿宋_GB2312"/>
          <w:b/>
          <w:bCs w:val="0"/>
          <w:sz w:val="28"/>
          <w:szCs w:val="28"/>
          <w:lang w:val="en-US" w:eastAsia="zh-Hans"/>
        </w:rPr>
        <w:t>、保密制度</w:t>
      </w:r>
    </w:p>
    <w:p w14:paraId="3B63541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CN"/>
        </w:rPr>
        <w:t>（一）</w:t>
      </w:r>
      <w:r>
        <w:rPr>
          <w:rFonts w:hint="eastAsia" w:ascii="仿宋_GB2312" w:hAnsi="仿宋_GB2312" w:eastAsia="仿宋_GB2312" w:cs="仿宋_GB2312"/>
          <w:bCs/>
          <w:sz w:val="28"/>
          <w:szCs w:val="28"/>
          <w:lang w:val="en-US" w:eastAsia="zh-Hans"/>
        </w:rPr>
        <w:t>乙方有义务对收集整理加工的数据的内容严格保密，只能为履行本合同之目的使用保密信息，不得为任何其他目的使用或授权他人使用保密信息。</w:t>
      </w:r>
    </w:p>
    <w:p w14:paraId="0B17207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CN"/>
        </w:rPr>
        <w:t>（二）</w:t>
      </w:r>
      <w:r>
        <w:rPr>
          <w:rFonts w:hint="eastAsia" w:ascii="仿宋_GB2312" w:hAnsi="仿宋_GB2312" w:eastAsia="仿宋_GB2312" w:cs="仿宋_GB2312"/>
          <w:bCs/>
          <w:sz w:val="28"/>
          <w:szCs w:val="28"/>
          <w:lang w:val="en-US" w:eastAsia="zh-Hans"/>
        </w:rPr>
        <w:t>乙方在履行本合同过程中，对甲方提供给乙方的资料信息以及乙方在为甲方服务的全过程中接触到的所有信息，乙方负有保密的责任。未经甲方书面同意，乙方不得擅自公开、出版、发表或以其他方式使用或者向任何第三方透露在本服务中从甲方获得的任何数据和信息。</w:t>
      </w:r>
    </w:p>
    <w:p w14:paraId="45E5DAE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lang w:val="en-US" w:eastAsia="zh-Hans"/>
        </w:rPr>
      </w:pPr>
      <w:r>
        <w:rPr>
          <w:rFonts w:hint="eastAsia" w:ascii="仿宋_GB2312" w:hAnsi="仿宋_GB2312" w:eastAsia="仿宋_GB2312" w:cs="仿宋_GB2312"/>
          <w:bCs/>
          <w:sz w:val="28"/>
          <w:szCs w:val="28"/>
          <w:lang w:val="en-US" w:eastAsia="zh-CN"/>
        </w:rPr>
        <w:t>（三）</w:t>
      </w:r>
      <w:r>
        <w:rPr>
          <w:rFonts w:hint="eastAsia" w:ascii="仿宋_GB2312" w:hAnsi="仿宋_GB2312" w:eastAsia="仿宋_GB2312" w:cs="仿宋_GB2312"/>
          <w:bCs/>
          <w:sz w:val="28"/>
          <w:szCs w:val="28"/>
          <w:lang w:val="en-US" w:eastAsia="zh-Hans"/>
        </w:rPr>
        <w:t>双方应自知悉项目保密信息之日起至项目保密信息公开之日止履行保密义务。合同是否终止或解除，不影响保密义务的履行。详见附件《保密协议》。</w:t>
      </w:r>
    </w:p>
    <w:p w14:paraId="1C202E6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九</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sz w:val="28"/>
          <w:szCs w:val="28"/>
          <w:highlight w:val="none"/>
        </w:rPr>
        <w:t>违约责任</w:t>
      </w:r>
    </w:p>
    <w:p w14:paraId="00FCA797">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1E25E0C9">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（二）未按合同要求提供服务或服务质量不能满足要求，乙方必须无条件整改，提高服务质量，否则，甲方可以按照实际情况扣除相应费用，并有权终止合同，同时对乙方违约行为进行追究。</w:t>
      </w:r>
    </w:p>
    <w:p w14:paraId="33DFA9D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十、合同争议解决的方式</w:t>
      </w:r>
    </w:p>
    <w:p w14:paraId="21F2280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因本合同引起的或与本合同有关的一切争议，由双方协商解决，协商不成的，双方均同意提交西安仲裁委员会仲裁解决。</w:t>
      </w:r>
    </w:p>
    <w:p w14:paraId="033D3844">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十一、不可抗力合同生效</w:t>
      </w:r>
    </w:p>
    <w:p w14:paraId="73917D9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如果本合同的其中一方因受战争、火灾、洪水、台风、地震、国内骚乱或其它灾害影响，而不能履行本合同，则履约时间应被相应地延长，而且对于因延时而造成的损失，任何一方都不承担责任</w:t>
      </w:r>
    </w:p>
    <w:p w14:paraId="18B8FF7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2" w:firstLineChars="200"/>
        <w:textAlignment w:val="auto"/>
        <w:rPr>
          <w:rFonts w:hint="eastAsia" w:ascii="仿宋_GB2312" w:hAnsi="仿宋_GB2312" w:eastAsia="仿宋_GB2312" w:cs="仿宋_GB2312"/>
          <w:b/>
          <w:bCs w:val="0"/>
          <w:sz w:val="28"/>
          <w:szCs w:val="28"/>
          <w:highlight w:val="none"/>
          <w:lang w:val="en-US" w:eastAsia="zh-CN"/>
        </w:rPr>
      </w:pPr>
      <w:r>
        <w:rPr>
          <w:rFonts w:hint="eastAsia" w:ascii="仿宋_GB2312" w:hAnsi="仿宋_GB2312" w:eastAsia="仿宋_GB2312" w:cs="仿宋_GB2312"/>
          <w:b/>
          <w:bCs w:val="0"/>
          <w:sz w:val="28"/>
          <w:szCs w:val="28"/>
          <w:highlight w:val="none"/>
          <w:lang w:val="en-US" w:eastAsia="zh-CN"/>
        </w:rPr>
        <w:t>十二、合同的生效与终止</w:t>
      </w:r>
    </w:p>
    <w:p w14:paraId="296C738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lang w:eastAsia="zh-CN"/>
        </w:rPr>
        <w:t>1、本合同一式</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u w:val="single"/>
          <w:lang w:eastAsia="zh-CN"/>
        </w:rPr>
        <w:t>陆</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lang w:eastAsia="zh-CN"/>
        </w:rPr>
        <w:t>份，甲方执</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u w:val="single"/>
          <w:lang w:eastAsia="zh-CN"/>
        </w:rPr>
        <w:t>肆</w:t>
      </w:r>
      <w:r>
        <w:rPr>
          <w:rFonts w:hint="eastAsia" w:ascii="仿宋_GB2312" w:hAnsi="仿宋_GB2312" w:eastAsia="仿宋_GB2312" w:cs="仿宋_GB2312"/>
          <w:bCs/>
          <w:sz w:val="28"/>
          <w:szCs w:val="28"/>
          <w:highlight w:val="none"/>
          <w:u w:val="single"/>
          <w:lang w:val="en-US" w:eastAsia="zh-CN"/>
        </w:rPr>
        <w:t xml:space="preserve"> </w:t>
      </w:r>
      <w:r>
        <w:rPr>
          <w:rFonts w:hint="eastAsia" w:ascii="仿宋_GB2312" w:hAnsi="仿宋_GB2312" w:eastAsia="仿宋_GB2312" w:cs="仿宋_GB2312"/>
          <w:bCs/>
          <w:sz w:val="28"/>
          <w:szCs w:val="28"/>
          <w:highlight w:val="none"/>
          <w:lang w:eastAsia="zh-CN"/>
        </w:rPr>
        <w:t>份，乙方执</w:t>
      </w:r>
      <w:r>
        <w:rPr>
          <w:rFonts w:hint="eastAsia" w:ascii="仿宋_GB2312" w:hAnsi="仿宋_GB2312" w:eastAsia="仿宋_GB2312" w:cs="仿宋_GB2312"/>
          <w:bCs/>
          <w:sz w:val="28"/>
          <w:szCs w:val="28"/>
          <w:highlight w:val="none"/>
          <w:u w:val="single"/>
          <w:lang w:val="en-US" w:eastAsia="zh-CN"/>
        </w:rPr>
        <w:t xml:space="preserve"> 贰 </w:t>
      </w:r>
      <w:r>
        <w:rPr>
          <w:rFonts w:hint="eastAsia" w:ascii="仿宋_GB2312" w:hAnsi="仿宋_GB2312" w:eastAsia="仿宋_GB2312" w:cs="仿宋_GB2312"/>
          <w:bCs/>
          <w:sz w:val="28"/>
          <w:szCs w:val="28"/>
          <w:highlight w:val="none"/>
          <w:lang w:eastAsia="zh-CN"/>
        </w:rPr>
        <w:t>份，经甲、乙双方的法定代表人（授权代理人）签字盖章后生效。</w:t>
      </w:r>
    </w:p>
    <w:p w14:paraId="4946E55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lang w:eastAsia="zh-CN"/>
        </w:rPr>
        <w:t>2、本项目</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lang w:eastAsia="zh-CN"/>
        </w:rPr>
        <w:t>文件及其澄清文件，乙方作为本项目投标人时的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lang w:eastAsia="zh-CN"/>
        </w:rPr>
        <w:t>文件及澄清文件为本合同不可分割的组成部分,与合同正文具有同等法律效力。二者如有矛盾，以合同正文为准。</w:t>
      </w:r>
    </w:p>
    <w:p w14:paraId="2671B82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lang w:eastAsia="zh-CN"/>
        </w:rPr>
        <w:t>3、如果本合同的某些条款被认定为无效、不合法或不能执行，此类无效、不合法或不能执行的认定不影响其他条款的有效性、合法性，或可执行性。</w:t>
      </w:r>
    </w:p>
    <w:p w14:paraId="08C65AFA">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lang w:eastAsia="zh-CN"/>
        </w:rPr>
        <w:t>4、一方严重违反本合同项下的义务，并且违约方在对方通知后三十天仍未纠正，则守约方可向对方发出解除合同的书面通知。如果该违约因不可抗力因素无法在三十天内纠正，则守约方应为违约方合理地延长该时间的期限。在合同的一方接到解除合同的通知后，合同另一方将根据实际情况或双方认可的计划以有序的方式尽快结束与项目有关的所有工作。</w:t>
      </w:r>
    </w:p>
    <w:p w14:paraId="716B6CF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lang w:eastAsia="zh-CN"/>
        </w:rPr>
        <w:t>5、在与项目有关的所有工作终止期间，所有已制作的资料都将按本合同规定进行交付。</w:t>
      </w:r>
    </w:p>
    <w:p w14:paraId="49D5F9E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560" w:firstLineChars="200"/>
        <w:textAlignment w:val="auto"/>
        <w:rPr>
          <w:rFonts w:hint="eastAsia" w:eastAsia="仿宋_GB2312"/>
          <w:lang w:val="en-US" w:eastAsia="zh-CN"/>
        </w:rPr>
      </w:pPr>
      <w:r>
        <w:rPr>
          <w:rFonts w:hint="eastAsia" w:ascii="仿宋_GB2312" w:hAnsi="仿宋_GB2312" w:eastAsia="仿宋_GB2312" w:cs="仿宋_GB2312"/>
          <w:bCs/>
          <w:sz w:val="28"/>
          <w:szCs w:val="28"/>
          <w:highlight w:val="none"/>
          <w:lang w:eastAsia="zh-CN"/>
        </w:rPr>
        <w:t>6、合同未尽事宜，由甲、乙双方协商后作为合同的补充文件，与原合同具有同等法律效力。</w:t>
      </w:r>
    </w:p>
    <w:bookmarkEnd w:id="0"/>
    <w:bookmarkEnd w:id="1"/>
    <w:p w14:paraId="17527C9C">
      <w:pPr>
        <w:rPr>
          <w:rFonts w:hint="default"/>
          <w:lang w:val="en-US" w:eastAsia="zh-CN"/>
        </w:rPr>
      </w:pPr>
    </w:p>
    <w:tbl>
      <w:tblPr>
        <w:tblStyle w:val="13"/>
        <w:tblpPr w:leftFromText="180" w:rightFromText="180" w:vertAnchor="text" w:horzAnchor="page" w:tblpX="1865" w:tblpY="441"/>
        <w:tblOverlap w:val="never"/>
        <w:tblW w:w="807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1702"/>
        <w:gridCol w:w="2075"/>
        <w:gridCol w:w="1628"/>
        <w:gridCol w:w="2669"/>
      </w:tblGrid>
      <w:tr w14:paraId="33269F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612" w:hRule="atLeast"/>
        </w:trPr>
        <w:tc>
          <w:tcPr>
            <w:tcW w:w="1702" w:type="dxa"/>
            <w:noWrap w:val="0"/>
            <w:vAlign w:val="center"/>
          </w:tcPr>
          <w:p w14:paraId="13E92FA4">
            <w:pPr>
              <w:spacing w:line="360" w:lineRule="exact"/>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甲方单位：</w:t>
            </w:r>
          </w:p>
          <w:p w14:paraId="31A36E0B">
            <w:pPr>
              <w:spacing w:line="360" w:lineRule="exact"/>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（盖章）</w:t>
            </w:r>
          </w:p>
        </w:tc>
        <w:tc>
          <w:tcPr>
            <w:tcW w:w="2075" w:type="dxa"/>
            <w:tcBorders>
              <w:top w:val="single" w:color="auto" w:sz="4" w:space="0"/>
              <w:bottom w:val="nil"/>
              <w:right w:val="single" w:color="auto" w:sz="4" w:space="0"/>
            </w:tcBorders>
            <w:noWrap w:val="0"/>
            <w:vAlign w:val="center"/>
          </w:tcPr>
          <w:p w14:paraId="5CBEBE34">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584465F1">
            <w:pPr>
              <w:spacing w:line="3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乙方单位：</w:t>
            </w:r>
          </w:p>
          <w:p w14:paraId="2C5E4D7B">
            <w:pPr>
              <w:spacing w:line="3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（盖章）</w:t>
            </w:r>
          </w:p>
        </w:tc>
        <w:tc>
          <w:tcPr>
            <w:tcW w:w="2669" w:type="dxa"/>
            <w:noWrap w:val="0"/>
            <w:vAlign w:val="center"/>
          </w:tcPr>
          <w:p w14:paraId="32CF6E41">
            <w:pPr>
              <w:spacing w:line="560" w:lineRule="exact"/>
              <w:rPr>
                <w:rFonts w:hint="eastAsia" w:ascii="Times New Roman" w:hAnsi="Times New Roman" w:eastAsia="仿宋_GB2312" w:cs="仿宋_GB2312"/>
                <w:bCs/>
                <w:sz w:val="28"/>
                <w:szCs w:val="28"/>
              </w:rPr>
            </w:pPr>
          </w:p>
        </w:tc>
      </w:tr>
      <w:tr w14:paraId="10898E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0" w:hRule="atLeast"/>
        </w:trPr>
        <w:tc>
          <w:tcPr>
            <w:tcW w:w="1702" w:type="dxa"/>
            <w:noWrap w:val="0"/>
            <w:vAlign w:val="center"/>
          </w:tcPr>
          <w:p w14:paraId="72AF3AAE">
            <w:pPr>
              <w:spacing w:line="560" w:lineRule="exact"/>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单位负责人：</w:t>
            </w:r>
          </w:p>
        </w:tc>
        <w:tc>
          <w:tcPr>
            <w:tcW w:w="2075" w:type="dxa"/>
            <w:tcBorders>
              <w:top w:val="nil"/>
              <w:bottom w:val="nil"/>
              <w:right w:val="single" w:color="auto" w:sz="4" w:space="0"/>
            </w:tcBorders>
            <w:noWrap w:val="0"/>
            <w:vAlign w:val="center"/>
          </w:tcPr>
          <w:p w14:paraId="6D5942EA">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0626B87B">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法定代表人：</w:t>
            </w:r>
          </w:p>
        </w:tc>
        <w:tc>
          <w:tcPr>
            <w:tcW w:w="2669" w:type="dxa"/>
            <w:noWrap w:val="0"/>
            <w:vAlign w:val="center"/>
          </w:tcPr>
          <w:p w14:paraId="235FE808">
            <w:pPr>
              <w:spacing w:line="560" w:lineRule="exact"/>
              <w:rPr>
                <w:rFonts w:hint="eastAsia" w:ascii="Times New Roman" w:hAnsi="Times New Roman" w:eastAsia="仿宋_GB2312" w:cs="仿宋_GB2312"/>
                <w:bCs/>
                <w:sz w:val="28"/>
                <w:szCs w:val="28"/>
              </w:rPr>
            </w:pPr>
          </w:p>
        </w:tc>
      </w:tr>
      <w:tr w14:paraId="5A139E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0" w:hRule="atLeast"/>
        </w:trPr>
        <w:tc>
          <w:tcPr>
            <w:tcW w:w="1702" w:type="dxa"/>
            <w:noWrap w:val="0"/>
            <w:vAlign w:val="center"/>
          </w:tcPr>
          <w:p w14:paraId="002F0469">
            <w:pPr>
              <w:spacing w:line="560" w:lineRule="exact"/>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委托代理人：</w:t>
            </w:r>
          </w:p>
        </w:tc>
        <w:tc>
          <w:tcPr>
            <w:tcW w:w="2075" w:type="dxa"/>
            <w:tcBorders>
              <w:top w:val="nil"/>
              <w:bottom w:val="nil"/>
              <w:right w:val="single" w:color="auto" w:sz="4" w:space="0"/>
            </w:tcBorders>
            <w:noWrap w:val="0"/>
            <w:vAlign w:val="center"/>
          </w:tcPr>
          <w:p w14:paraId="5DA3618F">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608D159D">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委托代理人：</w:t>
            </w:r>
          </w:p>
        </w:tc>
        <w:tc>
          <w:tcPr>
            <w:tcW w:w="2669" w:type="dxa"/>
            <w:noWrap w:val="0"/>
            <w:vAlign w:val="center"/>
          </w:tcPr>
          <w:p w14:paraId="4F9C15DE">
            <w:pPr>
              <w:spacing w:line="560" w:lineRule="exact"/>
              <w:rPr>
                <w:rFonts w:hint="eastAsia" w:ascii="Times New Roman" w:hAnsi="Times New Roman" w:eastAsia="仿宋_GB2312" w:cs="仿宋_GB2312"/>
                <w:bCs/>
                <w:sz w:val="28"/>
                <w:szCs w:val="28"/>
              </w:rPr>
            </w:pPr>
          </w:p>
        </w:tc>
      </w:tr>
      <w:tr w14:paraId="012EC4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0" w:hRule="atLeast"/>
        </w:trPr>
        <w:tc>
          <w:tcPr>
            <w:tcW w:w="1702" w:type="dxa"/>
            <w:noWrap w:val="0"/>
            <w:vAlign w:val="center"/>
          </w:tcPr>
          <w:p w14:paraId="292E4D64">
            <w:pPr>
              <w:spacing w:line="560" w:lineRule="exact"/>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日    期：</w:t>
            </w:r>
          </w:p>
        </w:tc>
        <w:tc>
          <w:tcPr>
            <w:tcW w:w="2075" w:type="dxa"/>
            <w:tcBorders>
              <w:top w:val="nil"/>
              <w:bottom w:val="nil"/>
              <w:right w:val="single" w:color="auto" w:sz="4" w:space="0"/>
            </w:tcBorders>
            <w:noWrap w:val="0"/>
            <w:vAlign w:val="center"/>
          </w:tcPr>
          <w:p w14:paraId="6D2E9481">
            <w:pPr>
              <w:spacing w:line="560" w:lineRule="exact"/>
              <w:ind w:firstLine="280" w:firstLineChars="100"/>
              <w:rPr>
                <w:rFonts w:hint="eastAsia" w:ascii="Times New Roman" w:hAnsi="Times New Roman" w:eastAsia="仿宋_GB2312" w:cs="仿宋_GB2312"/>
                <w:bCs/>
                <w:sz w:val="28"/>
                <w:szCs w:val="28"/>
              </w:rPr>
            </w:pPr>
            <w:r>
              <w:rPr>
                <w:rFonts w:hint="eastAsia" w:ascii="Times New Roman" w:hAnsi="Times New Roman" w:eastAsia="仿宋_GB2312" w:cs="仿宋_GB2312"/>
                <w:bCs/>
                <w:sz w:val="28"/>
                <w:szCs w:val="28"/>
              </w:rPr>
              <w:t>年   月   日</w:t>
            </w:r>
          </w:p>
        </w:tc>
        <w:tc>
          <w:tcPr>
            <w:tcW w:w="1628" w:type="dxa"/>
            <w:tcBorders>
              <w:left w:val="single" w:color="auto" w:sz="4" w:space="0"/>
            </w:tcBorders>
            <w:noWrap w:val="0"/>
            <w:vAlign w:val="center"/>
          </w:tcPr>
          <w:p w14:paraId="4364DD5C">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日    期：</w:t>
            </w:r>
          </w:p>
        </w:tc>
        <w:tc>
          <w:tcPr>
            <w:tcW w:w="2669" w:type="dxa"/>
            <w:noWrap w:val="0"/>
            <w:vAlign w:val="center"/>
          </w:tcPr>
          <w:p w14:paraId="5889B730">
            <w:pPr>
              <w:spacing w:line="560" w:lineRule="exact"/>
              <w:ind w:firstLine="840" w:firstLineChars="300"/>
              <w:rPr>
                <w:rFonts w:hint="eastAsia" w:ascii="Times New Roman" w:hAnsi="Times New Roman" w:eastAsia="仿宋_GB2312" w:cs="仿宋_GB2312"/>
                <w:bCs/>
                <w:sz w:val="28"/>
                <w:szCs w:val="28"/>
              </w:rPr>
            </w:pPr>
            <w:r>
              <w:rPr>
                <w:rFonts w:hint="eastAsia" w:ascii="Times New Roman" w:hAnsi="Times New Roman" w:eastAsia="仿宋_GB2312" w:cs="仿宋_GB2312"/>
                <w:bCs/>
                <w:sz w:val="28"/>
                <w:szCs w:val="28"/>
              </w:rPr>
              <w:t>年   月   日</w:t>
            </w:r>
          </w:p>
        </w:tc>
      </w:tr>
      <w:tr w14:paraId="72BE54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906" w:hRule="atLeast"/>
        </w:trPr>
        <w:tc>
          <w:tcPr>
            <w:tcW w:w="1702" w:type="dxa"/>
            <w:noWrap w:val="0"/>
            <w:vAlign w:val="center"/>
          </w:tcPr>
          <w:p w14:paraId="24F5D457">
            <w:pPr>
              <w:spacing w:line="360" w:lineRule="exact"/>
              <w:jc w:val="center"/>
              <w:rPr>
                <w:rFonts w:hint="eastAsia" w:ascii="Times New Roman" w:hAnsi="Times New Roman" w:eastAsia="仿宋_GB2312" w:cs="仿宋_GB2312"/>
                <w:b/>
                <w:bCs/>
                <w:sz w:val="28"/>
                <w:szCs w:val="28"/>
              </w:rPr>
            </w:pPr>
          </w:p>
          <w:p w14:paraId="7F2A4046">
            <w:pPr>
              <w:spacing w:line="3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统一社会信用代码：</w:t>
            </w:r>
          </w:p>
        </w:tc>
        <w:tc>
          <w:tcPr>
            <w:tcW w:w="2075" w:type="dxa"/>
            <w:tcBorders>
              <w:top w:val="nil"/>
              <w:bottom w:val="nil"/>
              <w:right w:val="single" w:color="auto" w:sz="4" w:space="0"/>
            </w:tcBorders>
            <w:noWrap w:val="0"/>
            <w:vAlign w:val="center"/>
          </w:tcPr>
          <w:p w14:paraId="13A9C1A7">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4C403AFA">
            <w:pPr>
              <w:spacing w:line="360" w:lineRule="exact"/>
              <w:ind w:left="241" w:hanging="281" w:hangingChars="100"/>
              <w:rPr>
                <w:rFonts w:hint="eastAsia" w:ascii="Times New Roman" w:hAnsi="Times New Roman" w:eastAsia="仿宋_GB2312" w:cs="仿宋_GB2312"/>
                <w:b/>
                <w:bCs/>
                <w:sz w:val="28"/>
                <w:szCs w:val="28"/>
              </w:rPr>
            </w:pPr>
          </w:p>
          <w:p w14:paraId="3214A7FC">
            <w:pPr>
              <w:spacing w:line="360" w:lineRule="exact"/>
              <w:ind w:left="241" w:hanging="281" w:hangingChars="100"/>
              <w:rPr>
                <w:rFonts w:hint="eastAsia" w:ascii="Times New Roman" w:hAnsi="Times New Roman" w:eastAsia="仿宋_GB2312" w:cs="仿宋_GB2312"/>
                <w:bCs/>
                <w:sz w:val="28"/>
                <w:szCs w:val="28"/>
              </w:rPr>
            </w:pPr>
            <w:r>
              <w:rPr>
                <w:rFonts w:hint="eastAsia" w:ascii="Times New Roman" w:hAnsi="Times New Roman" w:eastAsia="仿宋_GB2312" w:cs="仿宋_GB2312"/>
                <w:b/>
                <w:bCs/>
                <w:sz w:val="28"/>
                <w:szCs w:val="28"/>
              </w:rPr>
              <w:t>统一社会信用代码：</w:t>
            </w:r>
          </w:p>
        </w:tc>
        <w:tc>
          <w:tcPr>
            <w:tcW w:w="2669" w:type="dxa"/>
            <w:noWrap w:val="0"/>
            <w:vAlign w:val="center"/>
          </w:tcPr>
          <w:p w14:paraId="2BDBE5FA">
            <w:pPr>
              <w:spacing w:line="560" w:lineRule="exact"/>
              <w:rPr>
                <w:rFonts w:hint="eastAsia" w:ascii="Times New Roman" w:hAnsi="Times New Roman" w:eastAsia="仿宋_GB2312" w:cs="仿宋_GB2312"/>
                <w:bCs/>
                <w:sz w:val="28"/>
                <w:szCs w:val="28"/>
              </w:rPr>
            </w:pPr>
          </w:p>
        </w:tc>
      </w:tr>
      <w:tr w14:paraId="1F3FE2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939" w:hRule="atLeast"/>
        </w:trPr>
        <w:tc>
          <w:tcPr>
            <w:tcW w:w="1702" w:type="dxa"/>
            <w:noWrap w:val="0"/>
            <w:vAlign w:val="center"/>
          </w:tcPr>
          <w:p w14:paraId="5BE5C3F5">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开户单位：</w:t>
            </w:r>
          </w:p>
        </w:tc>
        <w:tc>
          <w:tcPr>
            <w:tcW w:w="2075" w:type="dxa"/>
            <w:tcBorders>
              <w:top w:val="nil"/>
              <w:bottom w:val="nil"/>
              <w:right w:val="single" w:color="auto" w:sz="4" w:space="0"/>
            </w:tcBorders>
            <w:noWrap w:val="0"/>
            <w:vAlign w:val="center"/>
          </w:tcPr>
          <w:p w14:paraId="09E6BAA1">
            <w:pPr>
              <w:spacing w:line="560" w:lineRule="exact"/>
              <w:rPr>
                <w:rFonts w:hint="eastAsia" w:ascii="Times New Roman" w:hAnsi="Times New Roman" w:eastAsia="仿宋_GB2312" w:cs="仿宋_GB2312"/>
                <w:bCs/>
                <w:sz w:val="28"/>
                <w:szCs w:val="28"/>
              </w:rPr>
            </w:pPr>
          </w:p>
          <w:p w14:paraId="1224DA22">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109220ED">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开户单位：</w:t>
            </w:r>
          </w:p>
        </w:tc>
        <w:tc>
          <w:tcPr>
            <w:tcW w:w="2669" w:type="dxa"/>
            <w:noWrap w:val="0"/>
            <w:vAlign w:val="center"/>
          </w:tcPr>
          <w:p w14:paraId="109BCF79">
            <w:pPr>
              <w:spacing w:line="560" w:lineRule="exact"/>
              <w:jc w:val="left"/>
              <w:rPr>
                <w:rFonts w:hint="eastAsia" w:ascii="Times New Roman" w:hAnsi="Times New Roman" w:eastAsia="仿宋_GB2312" w:cs="仿宋_GB2312"/>
                <w:bCs/>
                <w:sz w:val="28"/>
                <w:szCs w:val="28"/>
              </w:rPr>
            </w:pPr>
          </w:p>
        </w:tc>
      </w:tr>
      <w:tr w14:paraId="379CD3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0" w:hRule="atLeast"/>
        </w:trPr>
        <w:tc>
          <w:tcPr>
            <w:tcW w:w="1702" w:type="dxa"/>
            <w:noWrap w:val="0"/>
            <w:vAlign w:val="bottom"/>
          </w:tcPr>
          <w:p w14:paraId="69323232">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帐    号：</w:t>
            </w:r>
          </w:p>
        </w:tc>
        <w:tc>
          <w:tcPr>
            <w:tcW w:w="2075" w:type="dxa"/>
            <w:tcBorders>
              <w:top w:val="nil"/>
              <w:bottom w:val="nil"/>
              <w:right w:val="single" w:color="auto" w:sz="4" w:space="0"/>
            </w:tcBorders>
            <w:noWrap w:val="0"/>
            <w:vAlign w:val="bottom"/>
          </w:tcPr>
          <w:p w14:paraId="1D631040">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top"/>
          </w:tcPr>
          <w:p w14:paraId="69790D8A">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帐    号：</w:t>
            </w:r>
          </w:p>
        </w:tc>
        <w:tc>
          <w:tcPr>
            <w:tcW w:w="2669" w:type="dxa"/>
            <w:noWrap w:val="0"/>
            <w:vAlign w:val="bottom"/>
          </w:tcPr>
          <w:p w14:paraId="67E5D622">
            <w:pPr>
              <w:spacing w:line="440" w:lineRule="exact"/>
              <w:rPr>
                <w:rFonts w:hint="eastAsia" w:ascii="Times New Roman" w:hAnsi="Times New Roman" w:eastAsia="仿宋_GB2312" w:cs="仿宋_GB2312"/>
                <w:bCs/>
                <w:sz w:val="28"/>
                <w:szCs w:val="28"/>
              </w:rPr>
            </w:pPr>
          </w:p>
        </w:tc>
      </w:tr>
      <w:tr w14:paraId="700B77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8" w:hRule="atLeast"/>
        </w:trPr>
        <w:tc>
          <w:tcPr>
            <w:tcW w:w="1702" w:type="dxa"/>
            <w:tcBorders>
              <w:right w:val="nil"/>
            </w:tcBorders>
            <w:noWrap w:val="0"/>
            <w:vAlign w:val="center"/>
          </w:tcPr>
          <w:p w14:paraId="1EC821EF">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地    址：</w:t>
            </w:r>
          </w:p>
        </w:tc>
        <w:tc>
          <w:tcPr>
            <w:tcW w:w="2075" w:type="dxa"/>
            <w:tcBorders>
              <w:top w:val="nil"/>
              <w:left w:val="nil"/>
              <w:bottom w:val="nil"/>
              <w:right w:val="single" w:color="auto" w:sz="4" w:space="0"/>
            </w:tcBorders>
            <w:noWrap w:val="0"/>
            <w:vAlign w:val="center"/>
          </w:tcPr>
          <w:p w14:paraId="28DE1885">
            <w:pPr>
              <w:spacing w:line="360" w:lineRule="exact"/>
              <w:jc w:val="lef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4BAC36B8">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地    址：</w:t>
            </w:r>
          </w:p>
        </w:tc>
        <w:tc>
          <w:tcPr>
            <w:tcW w:w="2669" w:type="dxa"/>
            <w:noWrap w:val="0"/>
            <w:vAlign w:val="center"/>
          </w:tcPr>
          <w:p w14:paraId="2C260CD5">
            <w:pPr>
              <w:spacing w:line="360" w:lineRule="exact"/>
              <w:jc w:val="left"/>
              <w:rPr>
                <w:rFonts w:hint="eastAsia" w:ascii="Times New Roman" w:hAnsi="Times New Roman" w:eastAsia="仿宋_GB2312" w:cs="仿宋_GB2312"/>
                <w:bCs/>
                <w:sz w:val="28"/>
                <w:szCs w:val="28"/>
              </w:rPr>
            </w:pPr>
          </w:p>
        </w:tc>
      </w:tr>
      <w:tr w14:paraId="0C6205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0" w:hRule="atLeast"/>
        </w:trPr>
        <w:tc>
          <w:tcPr>
            <w:tcW w:w="1702" w:type="dxa"/>
            <w:noWrap w:val="0"/>
            <w:vAlign w:val="center"/>
          </w:tcPr>
          <w:p w14:paraId="1C80F53D">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邮    编：</w:t>
            </w:r>
          </w:p>
        </w:tc>
        <w:tc>
          <w:tcPr>
            <w:tcW w:w="2075" w:type="dxa"/>
            <w:tcBorders>
              <w:top w:val="nil"/>
              <w:bottom w:val="nil"/>
              <w:right w:val="single" w:color="auto" w:sz="4" w:space="0"/>
            </w:tcBorders>
            <w:noWrap w:val="0"/>
            <w:vAlign w:val="center"/>
          </w:tcPr>
          <w:p w14:paraId="4D22183C">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6377EB84">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邮    编：</w:t>
            </w:r>
          </w:p>
        </w:tc>
        <w:tc>
          <w:tcPr>
            <w:tcW w:w="2669" w:type="dxa"/>
            <w:noWrap w:val="0"/>
            <w:vAlign w:val="center"/>
          </w:tcPr>
          <w:p w14:paraId="36FB5D38">
            <w:pPr>
              <w:spacing w:line="560" w:lineRule="exact"/>
              <w:rPr>
                <w:rFonts w:hint="eastAsia" w:ascii="Times New Roman" w:hAnsi="Times New Roman" w:eastAsia="仿宋_GB2312" w:cs="仿宋_GB2312"/>
                <w:bCs/>
                <w:sz w:val="28"/>
                <w:szCs w:val="28"/>
              </w:rPr>
            </w:pPr>
          </w:p>
        </w:tc>
      </w:tr>
      <w:tr w14:paraId="5BFB14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0" w:hRule="atLeast"/>
        </w:trPr>
        <w:tc>
          <w:tcPr>
            <w:tcW w:w="1702" w:type="dxa"/>
            <w:noWrap w:val="0"/>
            <w:vAlign w:val="center"/>
          </w:tcPr>
          <w:p w14:paraId="7CA192EB">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联系电话：</w:t>
            </w:r>
          </w:p>
        </w:tc>
        <w:tc>
          <w:tcPr>
            <w:tcW w:w="2075" w:type="dxa"/>
            <w:tcBorders>
              <w:top w:val="nil"/>
              <w:bottom w:val="nil"/>
              <w:right w:val="single" w:color="auto" w:sz="4" w:space="0"/>
            </w:tcBorders>
            <w:noWrap w:val="0"/>
            <w:vAlign w:val="center"/>
          </w:tcPr>
          <w:p w14:paraId="2E703073">
            <w:pPr>
              <w:spacing w:line="560" w:lineRule="exact"/>
              <w:rPr>
                <w:rFonts w:ascii="Times New Roman" w:hAnsi="Times New Roman" w:eastAsia="仿宋_GB2312" w:cs="仿宋_GB2312"/>
                <w:bCs/>
                <w:sz w:val="28"/>
                <w:szCs w:val="28"/>
              </w:rPr>
            </w:pPr>
          </w:p>
        </w:tc>
        <w:tc>
          <w:tcPr>
            <w:tcW w:w="1628" w:type="dxa"/>
            <w:tcBorders>
              <w:left w:val="single" w:color="auto" w:sz="4" w:space="0"/>
            </w:tcBorders>
            <w:noWrap w:val="0"/>
            <w:vAlign w:val="center"/>
          </w:tcPr>
          <w:p w14:paraId="2E91641B">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联系电话：</w:t>
            </w:r>
          </w:p>
        </w:tc>
        <w:tc>
          <w:tcPr>
            <w:tcW w:w="2669" w:type="dxa"/>
            <w:noWrap w:val="0"/>
            <w:vAlign w:val="center"/>
          </w:tcPr>
          <w:p w14:paraId="03B303A1">
            <w:pPr>
              <w:spacing w:line="560" w:lineRule="exact"/>
              <w:rPr>
                <w:rFonts w:hint="eastAsia" w:ascii="Times New Roman" w:hAnsi="Times New Roman" w:eastAsia="仿宋_GB2312" w:cs="仿宋_GB2312"/>
                <w:bCs/>
                <w:sz w:val="28"/>
                <w:szCs w:val="28"/>
              </w:rPr>
            </w:pPr>
          </w:p>
        </w:tc>
      </w:tr>
      <w:tr w14:paraId="6663FC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78" w:hRule="atLeast"/>
        </w:trPr>
        <w:tc>
          <w:tcPr>
            <w:tcW w:w="1702" w:type="dxa"/>
            <w:noWrap w:val="0"/>
            <w:vAlign w:val="center"/>
          </w:tcPr>
          <w:p w14:paraId="0AC6004B">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EMAIL：</w:t>
            </w:r>
          </w:p>
        </w:tc>
        <w:tc>
          <w:tcPr>
            <w:tcW w:w="2075" w:type="dxa"/>
            <w:tcBorders>
              <w:top w:val="nil"/>
              <w:bottom w:val="single" w:color="auto" w:sz="4" w:space="0"/>
              <w:right w:val="single" w:color="auto" w:sz="4" w:space="0"/>
            </w:tcBorders>
            <w:noWrap w:val="0"/>
            <w:vAlign w:val="center"/>
          </w:tcPr>
          <w:p w14:paraId="17A1D7E0">
            <w:pPr>
              <w:spacing w:line="560" w:lineRule="exact"/>
              <w:rPr>
                <w:rFonts w:hint="eastAsia" w:ascii="Times New Roman" w:hAnsi="Times New Roman" w:eastAsia="仿宋_GB2312" w:cs="仿宋_GB2312"/>
                <w:bCs/>
                <w:sz w:val="28"/>
                <w:szCs w:val="28"/>
              </w:rPr>
            </w:pPr>
          </w:p>
        </w:tc>
        <w:tc>
          <w:tcPr>
            <w:tcW w:w="1628" w:type="dxa"/>
            <w:tcBorders>
              <w:left w:val="single" w:color="auto" w:sz="4" w:space="0"/>
            </w:tcBorders>
            <w:noWrap w:val="0"/>
            <w:vAlign w:val="center"/>
          </w:tcPr>
          <w:p w14:paraId="0A343A66">
            <w:pPr>
              <w:spacing w:line="560" w:lineRule="exact"/>
              <w:jc w:val="center"/>
              <w:rPr>
                <w:rFonts w:hint="eastAsia" w:ascii="Times New Roman" w:hAnsi="Times New Roman" w:eastAsia="仿宋_GB2312" w:cs="仿宋_GB2312"/>
                <w:b/>
                <w:bCs/>
                <w:sz w:val="28"/>
                <w:szCs w:val="28"/>
              </w:rPr>
            </w:pPr>
            <w:r>
              <w:rPr>
                <w:rFonts w:hint="eastAsia" w:ascii="Times New Roman" w:hAnsi="Times New Roman" w:eastAsia="仿宋_GB2312" w:cs="仿宋_GB2312"/>
                <w:b/>
                <w:bCs/>
                <w:sz w:val="28"/>
                <w:szCs w:val="28"/>
              </w:rPr>
              <w:t>EMAIL：</w:t>
            </w:r>
          </w:p>
        </w:tc>
        <w:tc>
          <w:tcPr>
            <w:tcW w:w="2669" w:type="dxa"/>
            <w:noWrap w:val="0"/>
            <w:vAlign w:val="center"/>
          </w:tcPr>
          <w:p w14:paraId="3A0BAD6B">
            <w:pPr>
              <w:spacing w:line="560" w:lineRule="exact"/>
              <w:rPr>
                <w:rFonts w:hint="eastAsia" w:ascii="Times New Roman" w:hAnsi="Times New Roman" w:eastAsia="仿宋_GB2312" w:cs="仿宋_GB2312"/>
                <w:bCs/>
                <w:sz w:val="28"/>
                <w:szCs w:val="28"/>
              </w:rPr>
            </w:pPr>
          </w:p>
        </w:tc>
      </w:tr>
    </w:tbl>
    <w:p w14:paraId="10B39693">
      <w:pPr>
        <w:pStyle w:val="2"/>
        <w:tabs>
          <w:tab w:val="center" w:pos="4153"/>
          <w:tab w:val="right" w:pos="8306"/>
          <w:tab w:val="clear" w:pos="4140"/>
          <w:tab w:val="clear" w:pos="8300"/>
        </w:tabs>
        <w:rPr>
          <w:rFonts w:ascii="仿宋_GB2312" w:hAnsi="仿宋_GB2312" w:eastAsia="仿宋_GB2312" w:cs="仿宋_GB2312"/>
          <w:sz w:val="28"/>
          <w:szCs w:val="28"/>
        </w:rPr>
      </w:pPr>
    </w:p>
    <w:p w14:paraId="7F0C2E2D">
      <w:pPr>
        <w:pStyle w:val="6"/>
        <w:rPr>
          <w:rFonts w:ascii="仿宋_GB2312" w:hAnsi="仿宋_GB2312" w:eastAsia="仿宋_GB2312" w:cs="仿宋_GB2312"/>
          <w:sz w:val="28"/>
          <w:szCs w:val="28"/>
        </w:rPr>
      </w:pPr>
    </w:p>
    <w:p w14:paraId="4BCB2D38"/>
    <w:p w14:paraId="11886D14">
      <w:pPr>
        <w:pStyle w:val="2"/>
      </w:pPr>
    </w:p>
    <w:p w14:paraId="133FDB71">
      <w:pPr>
        <w:pStyle w:val="2"/>
      </w:pPr>
    </w:p>
    <w:p w14:paraId="4785111E">
      <w:pPr>
        <w:pStyle w:val="2"/>
      </w:pPr>
    </w:p>
    <w:p w14:paraId="7E28F50F">
      <w:pPr>
        <w:pStyle w:val="2"/>
      </w:pPr>
    </w:p>
    <w:p w14:paraId="3BD7BFC6">
      <w:pPr>
        <w:pStyle w:val="2"/>
      </w:pPr>
    </w:p>
    <w:p w14:paraId="7FEE300F">
      <w:pPr>
        <w:pStyle w:val="2"/>
      </w:pPr>
    </w:p>
    <w:p w14:paraId="0B422BE3">
      <w:pPr>
        <w:pStyle w:val="2"/>
      </w:pPr>
    </w:p>
    <w:p w14:paraId="15DE1035">
      <w:pPr>
        <w:pStyle w:val="2"/>
      </w:pPr>
    </w:p>
    <w:p w14:paraId="64ADFAC0">
      <w:pPr>
        <w:pStyle w:val="2"/>
      </w:pPr>
    </w:p>
    <w:p w14:paraId="499F7388">
      <w:pPr>
        <w:pStyle w:val="2"/>
      </w:pPr>
    </w:p>
    <w:p w14:paraId="2FFDE24A">
      <w:pPr>
        <w:pStyle w:val="2"/>
      </w:pPr>
    </w:p>
    <w:p w14:paraId="6B9B23B3">
      <w:pPr>
        <w:pStyle w:val="2"/>
      </w:pPr>
    </w:p>
    <w:p w14:paraId="0AC29BE1">
      <w:pPr>
        <w:pStyle w:val="2"/>
      </w:pPr>
    </w:p>
    <w:p w14:paraId="4C105832">
      <w:pPr>
        <w:pStyle w:val="2"/>
      </w:pPr>
    </w:p>
    <w:p w14:paraId="0591762D">
      <w:pPr>
        <w:pStyle w:val="2"/>
      </w:pPr>
    </w:p>
    <w:p w14:paraId="60E194A4">
      <w:pPr>
        <w:pStyle w:val="2"/>
      </w:pPr>
    </w:p>
    <w:p w14:paraId="65F86FF6">
      <w:pPr>
        <w:pStyle w:val="2"/>
      </w:pPr>
    </w:p>
    <w:p w14:paraId="6F9FB108">
      <w:pPr>
        <w:pStyle w:val="2"/>
      </w:pPr>
    </w:p>
    <w:p w14:paraId="637338D1">
      <w:pPr>
        <w:pStyle w:val="2"/>
      </w:pPr>
    </w:p>
    <w:p w14:paraId="4FF87108">
      <w:pPr>
        <w:pStyle w:val="2"/>
      </w:pPr>
    </w:p>
    <w:p w14:paraId="01085939">
      <w:pPr>
        <w:pStyle w:val="2"/>
      </w:pPr>
    </w:p>
    <w:p w14:paraId="7E199DBE">
      <w:pPr>
        <w:pStyle w:val="2"/>
      </w:pPr>
    </w:p>
    <w:p w14:paraId="6F5A4C0A">
      <w:pPr>
        <w:pStyle w:val="2"/>
      </w:pPr>
    </w:p>
    <w:p w14:paraId="4E731E20">
      <w:pPr>
        <w:pStyle w:val="2"/>
      </w:pPr>
    </w:p>
    <w:p w14:paraId="3A5803C7">
      <w:pPr>
        <w:pStyle w:val="2"/>
      </w:pPr>
    </w:p>
    <w:p w14:paraId="0BA00270">
      <w:pPr>
        <w:pStyle w:val="2"/>
      </w:pPr>
    </w:p>
    <w:p w14:paraId="2110EDAE">
      <w:pPr>
        <w:pStyle w:val="2"/>
      </w:pPr>
    </w:p>
    <w:p w14:paraId="018977B6">
      <w:pPr>
        <w:pStyle w:val="2"/>
      </w:pPr>
    </w:p>
    <w:p w14:paraId="27ACDE4D">
      <w:pPr>
        <w:pStyle w:val="2"/>
      </w:pPr>
    </w:p>
    <w:p w14:paraId="409FBCEC">
      <w:pPr>
        <w:pStyle w:val="2"/>
      </w:pPr>
    </w:p>
    <w:p w14:paraId="0ED457D4">
      <w:pPr>
        <w:pStyle w:val="2"/>
      </w:pPr>
    </w:p>
    <w:p w14:paraId="08D70D3C">
      <w:pPr>
        <w:pStyle w:val="2"/>
      </w:pPr>
    </w:p>
    <w:p w14:paraId="63B25250">
      <w:pPr>
        <w:pStyle w:val="2"/>
      </w:pPr>
    </w:p>
    <w:p w14:paraId="141D4203">
      <w:pPr>
        <w:pStyle w:val="2"/>
      </w:pPr>
    </w:p>
    <w:p w14:paraId="0EBCCE65">
      <w:pPr>
        <w:pStyle w:val="2"/>
      </w:pPr>
    </w:p>
    <w:p w14:paraId="1193BB0B">
      <w:r>
        <w:br w:type="page"/>
      </w:r>
    </w:p>
    <w:p w14:paraId="241BAB89">
      <w:pPr>
        <w:jc w:val="center"/>
        <w:rPr>
          <w:rFonts w:ascii="Times New Roman" w:hAnsi="Times New Roman" w:eastAsia="方正小标宋简体" w:cs="方正小标宋简体"/>
          <w:bCs/>
          <w:color w:val="333333"/>
          <w:sz w:val="44"/>
          <w:szCs w:val="44"/>
        </w:rPr>
      </w:pPr>
      <w:r>
        <w:rPr>
          <w:rFonts w:hint="eastAsia" w:ascii="Times New Roman" w:hAnsi="Times New Roman" w:eastAsia="方正小标宋简体" w:cs="方正小标宋简体"/>
          <w:bCs/>
          <w:color w:val="333333"/>
          <w:sz w:val="44"/>
          <w:szCs w:val="44"/>
        </w:rPr>
        <w:t>保 密 协 议</w:t>
      </w:r>
    </w:p>
    <w:p w14:paraId="37D3B197">
      <w:pPr>
        <w:rPr>
          <w:rFonts w:ascii="Times New Roman" w:hAnsi="Times New Roman"/>
        </w:rPr>
      </w:pPr>
    </w:p>
    <w:p w14:paraId="62758446">
      <w:pPr>
        <w:spacing w:line="560" w:lineRule="exact"/>
        <w:ind w:firstLine="562" w:firstLineChars="200"/>
        <w:rPr>
          <w:rFonts w:hint="eastAsia" w:ascii="Times New Roman" w:hAnsi="Times New Roman" w:eastAsia="仿宋_GB2312" w:cs="仿宋_GB2312"/>
          <w:b/>
          <w:bCs/>
          <w:color w:val="000000"/>
          <w:kern w:val="0"/>
          <w:sz w:val="28"/>
          <w:szCs w:val="28"/>
          <w:lang w:bidi="ar"/>
        </w:rPr>
      </w:pPr>
      <w:r>
        <w:rPr>
          <w:rFonts w:hint="eastAsia" w:ascii="Times New Roman" w:hAnsi="Times New Roman" w:eastAsia="仿宋_GB2312" w:cs="仿宋_GB2312"/>
          <w:b/>
          <w:bCs/>
          <w:color w:val="000000"/>
          <w:kern w:val="0"/>
          <w:sz w:val="28"/>
          <w:szCs w:val="28"/>
          <w:lang w:bidi="ar"/>
        </w:rPr>
        <w:t>甲方：</w:t>
      </w:r>
    </w:p>
    <w:p w14:paraId="09049450">
      <w:pPr>
        <w:spacing w:line="560" w:lineRule="exact"/>
        <w:ind w:firstLine="562" w:firstLineChars="200"/>
        <w:rPr>
          <w:rFonts w:hint="eastAsia" w:ascii="Times New Roman" w:hAnsi="Times New Roman" w:eastAsia="仿宋_GB2312" w:cs="仿宋_GB2312"/>
          <w:b/>
          <w:bCs/>
          <w:color w:val="000000"/>
          <w:kern w:val="0"/>
          <w:sz w:val="28"/>
          <w:szCs w:val="28"/>
          <w:lang w:bidi="ar"/>
        </w:rPr>
      </w:pPr>
      <w:r>
        <w:rPr>
          <w:rFonts w:hint="eastAsia" w:ascii="Times New Roman" w:hAnsi="Times New Roman" w:eastAsia="仿宋_GB2312" w:cs="仿宋_GB2312"/>
          <w:b/>
          <w:bCs/>
          <w:color w:val="000000"/>
          <w:kern w:val="0"/>
          <w:sz w:val="28"/>
          <w:szCs w:val="28"/>
          <w:lang w:bidi="ar"/>
        </w:rPr>
        <w:t>乙方：</w:t>
      </w:r>
    </w:p>
    <w:p w14:paraId="5147B990">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color w:val="000000"/>
          <w:kern w:val="0"/>
          <w:sz w:val="28"/>
          <w:szCs w:val="28"/>
          <w:lang w:bidi="ar"/>
        </w:rPr>
        <w:t>为确保甲乙双方有关</w:t>
      </w:r>
      <w:r>
        <w:rPr>
          <w:rFonts w:hint="eastAsia" w:ascii="Times New Roman" w:hAnsi="Times New Roman" w:eastAsia="仿宋_GB2312" w:cs="仿宋_GB2312"/>
          <w:color w:val="000000"/>
          <w:kern w:val="0"/>
          <w:sz w:val="28"/>
          <w:szCs w:val="28"/>
          <w:u w:val="single"/>
          <w:lang w:bidi="ar"/>
        </w:rPr>
        <w:t>西安高新区2025年企业技术改造提升综合服务项目</w:t>
      </w:r>
      <w:r>
        <w:rPr>
          <w:rFonts w:hint="eastAsia" w:ascii="Times New Roman" w:hAnsi="Times New Roman" w:eastAsia="仿宋_GB2312" w:cs="仿宋_GB2312"/>
          <w:sz w:val="28"/>
          <w:szCs w:val="28"/>
        </w:rPr>
        <w:t>有序开展，杜绝项目实施过程中保密信息泄露事件的发生，经甲乙双方友好协商，签订本协议。</w:t>
      </w:r>
    </w:p>
    <w:p w14:paraId="1757310B">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黑体" w:cs="黑体"/>
          <w:sz w:val="28"/>
          <w:szCs w:val="28"/>
        </w:rPr>
        <w:t>一、保密范围</w:t>
      </w:r>
    </w:p>
    <w:p w14:paraId="332092ED">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保密信息是指不为公众所知悉、能为权利人带来经济利益、具有实用性并经甲方采取保密措施的相关信息，包括但不限于：</w:t>
      </w:r>
    </w:p>
    <w:p w14:paraId="2A1A4140">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1、在提供时明确标记有“保密”、“秘密”或“机密”的；</w:t>
      </w:r>
    </w:p>
    <w:p w14:paraId="3E4E853B">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标记为“内部”或“内部信息严禁外传”等字样、未标记为“保密”但属于甲方的内部通知、领导批示、会议纪要、舆情分析及应对措施、工作计划、报告总结、实施方案、报表数据、图幅、尚未开展的公务活动等不宜公开上网的敏感内容；</w:t>
      </w:r>
    </w:p>
    <w:p w14:paraId="5E99220A">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3、口头传达并在传达时认定为属于保密的信息；</w:t>
      </w:r>
    </w:p>
    <w:p w14:paraId="7512E4F7">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4、甲方相关的业务和技术方面有保密要求的资料信息；</w:t>
      </w:r>
    </w:p>
    <w:p w14:paraId="3EBDDC8D">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5、本项目实施中形成的双方共有技术、产权、软件成果、研究思路。</w:t>
      </w:r>
    </w:p>
    <w:p w14:paraId="7FB187DC">
      <w:pPr>
        <w:spacing w:line="560" w:lineRule="exact"/>
        <w:ind w:firstLine="560" w:firstLineChars="200"/>
        <w:rPr>
          <w:rFonts w:hint="eastAsia" w:ascii="Times New Roman" w:hAnsi="Times New Roman" w:eastAsia="黑体" w:cs="黑体"/>
          <w:sz w:val="28"/>
          <w:szCs w:val="28"/>
        </w:rPr>
      </w:pPr>
      <w:r>
        <w:rPr>
          <w:rFonts w:hint="eastAsia" w:ascii="Times New Roman" w:hAnsi="Times New Roman" w:eastAsia="黑体" w:cs="黑体"/>
          <w:sz w:val="28"/>
          <w:szCs w:val="28"/>
        </w:rPr>
        <w:t>二、保密要求</w:t>
      </w:r>
    </w:p>
    <w:p w14:paraId="343EDECC">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1、乙方应遵守《中华人民共和国保守国家秘密法》、《中华人民共和国保守国家秘密法实施条例》、《西安高新区关于信息公开及保密管理规定》等，对本项目涉及的信息进行保密。</w:t>
      </w:r>
    </w:p>
    <w:p w14:paraId="7DDD9AFB">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2、乙方在为甲方提供服务时，应对来源于服务对象的所有信息进行涉密情况的征询，对于甲方的保密信息要做好保密管理。</w:t>
      </w:r>
    </w:p>
    <w:p w14:paraId="567CA6A6">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3、乙方人员须在甲方工作人员允许和在场的情况下对甲方内部信息数据进行操作，乙方不得擅自复制、传播服务对象及甲方的项目信息，不得外泄信息。</w:t>
      </w:r>
    </w:p>
    <w:p w14:paraId="0FAB1C21">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4、乙方在使用完安全设备带离现场时，须在甲方监督下及时使用不可恢复的删除方式彻底删除设备内的甲方内部信息。未经甲方许可，不得带走甲方有关文件、资料和数据。</w:t>
      </w:r>
    </w:p>
    <w:p w14:paraId="64E4C607">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5、乙方不得泄露甲方应用系统及数据库的帐号和密码。</w:t>
      </w:r>
    </w:p>
    <w:p w14:paraId="654F5D68">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6、项目完成后，乙方应将项目信息完整交付甲方，不得保留项目信息的副本，相关纸质及电子资料必须销毁。</w:t>
      </w:r>
    </w:p>
    <w:p w14:paraId="05E937EA">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7、乙方工作人员调离乙方公司时，乙方公司应采取相关措施防止信息泄露,否则发生的信息泄露责任，由乙方负责。</w:t>
      </w:r>
    </w:p>
    <w:p w14:paraId="4C241666">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8、除非事先取得甲方的书面同意，否则乙方不得复制、出版或向第三方披露任何保密信息。特别强调的是，未经批准，不得擅自公开发布中央、省市级文件全文、摘要或消息稿。如需刊登上述文件，应当从人民日报、新华社和陕西日报等中央、省市新闻单位或政府网站转载。</w:t>
      </w:r>
    </w:p>
    <w:p w14:paraId="146674F5">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9、乙方不得将工作中接触到的甲方内部信息传至微信、QQ、微博、公众号、美篇等互联网公开渠道，发送给不应知悉人员。</w:t>
      </w:r>
    </w:p>
    <w:p w14:paraId="79B8B5E8">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10、在履行上述义务时，乙方均应采取不低于保护其自身保密信息所用同样严格的措施，并责成其每一位有可能得到保密信息的董事、管理人员、雇员或代理人分别就本协议涉及的保密内容签订保密协议。</w:t>
      </w:r>
    </w:p>
    <w:p w14:paraId="3D8AE451">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黑体" w:cs="黑体"/>
          <w:sz w:val="28"/>
          <w:szCs w:val="28"/>
        </w:rPr>
        <w:t>三、保密期限</w:t>
      </w:r>
    </w:p>
    <w:p w14:paraId="2BC277D7">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本协议所涉及的信息保密期限，依照国家有关法律、法规规定。</w:t>
      </w:r>
    </w:p>
    <w:p w14:paraId="664F74CC">
      <w:pPr>
        <w:spacing w:line="560" w:lineRule="exact"/>
        <w:ind w:firstLine="560" w:firstLineChars="200"/>
        <w:rPr>
          <w:rFonts w:hint="eastAsia" w:ascii="Times New Roman" w:hAnsi="Times New Roman" w:eastAsia="黑体" w:cs="黑体"/>
          <w:sz w:val="28"/>
          <w:szCs w:val="28"/>
        </w:rPr>
      </w:pPr>
      <w:r>
        <w:rPr>
          <w:rFonts w:hint="eastAsia" w:ascii="Times New Roman" w:hAnsi="Times New Roman" w:eastAsia="黑体" w:cs="黑体"/>
          <w:sz w:val="28"/>
          <w:szCs w:val="28"/>
        </w:rPr>
        <w:t>四、违约责任</w:t>
      </w:r>
    </w:p>
    <w:p w14:paraId="1B0E2860">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乙方如违反其在本协议项下的义务，则乙方有权立即单方面终止甲乙方之间签订的任何业务合作协议；同时，乙方应赔偿甲方因上述违约导致的全部实际损失，包括但不限于律师费、调查费、公证费、诉讼或仲裁费等费用支出。</w:t>
      </w:r>
    </w:p>
    <w:p w14:paraId="0781391F">
      <w:pPr>
        <w:spacing w:line="560" w:lineRule="exact"/>
        <w:ind w:firstLine="560" w:firstLineChars="200"/>
        <w:rPr>
          <w:rFonts w:hint="eastAsia" w:ascii="Times New Roman" w:hAnsi="Times New Roman" w:eastAsia="黑体" w:cs="黑体"/>
          <w:sz w:val="28"/>
          <w:szCs w:val="28"/>
        </w:rPr>
      </w:pPr>
      <w:r>
        <w:rPr>
          <w:rFonts w:hint="eastAsia" w:ascii="Times New Roman" w:hAnsi="Times New Roman" w:eastAsia="黑体" w:cs="黑体"/>
          <w:sz w:val="28"/>
          <w:szCs w:val="28"/>
        </w:rPr>
        <w:t>五、其它</w:t>
      </w:r>
    </w:p>
    <w:p w14:paraId="73C09DF4">
      <w:pPr>
        <w:spacing w:line="560" w:lineRule="exact"/>
        <w:ind w:firstLine="560" w:firstLineChars="200"/>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本协议双方各持一份，并作为甲乙双方签订项目合同的附件，与合同具有同等法律效力，在甲乙双方合作期限内长期有效。</w:t>
      </w:r>
    </w:p>
    <w:p w14:paraId="608B9DA3">
      <w:pPr>
        <w:pStyle w:val="2"/>
        <w:tabs>
          <w:tab w:val="center" w:pos="4153"/>
          <w:tab w:val="right" w:pos="8306"/>
          <w:tab w:val="clear" w:pos="4140"/>
          <w:tab w:val="clear" w:pos="8300"/>
        </w:tabs>
        <w:rPr>
          <w:rFonts w:hint="eastAsia"/>
        </w:rPr>
      </w:pPr>
    </w:p>
    <w:p w14:paraId="3B4FDC65">
      <w:pPr>
        <w:rPr>
          <w:rFonts w:hint="eastAsia" w:ascii="Times New Roman" w:hAnsi="Times New Roman"/>
          <w:sz w:val="28"/>
          <w:szCs w:val="28"/>
        </w:rPr>
      </w:pPr>
    </w:p>
    <w:p w14:paraId="16DE9B5B">
      <w:pPr>
        <w:pStyle w:val="2"/>
        <w:rPr>
          <w:rFonts w:hint="eastAsia"/>
        </w:rPr>
      </w:pPr>
    </w:p>
    <w:tbl>
      <w:tblPr>
        <w:tblStyle w:val="13"/>
        <w:tblpPr w:leftFromText="180" w:rightFromText="180" w:vertAnchor="text" w:horzAnchor="page" w:tblpX="1446" w:tblpY="345"/>
        <w:tblOverlap w:val="never"/>
        <w:tblW w:w="9260" w:type="dxa"/>
        <w:tblInd w:w="0" w:type="dxa"/>
        <w:tblLayout w:type="autofit"/>
        <w:tblCellMar>
          <w:top w:w="0" w:type="dxa"/>
          <w:left w:w="108" w:type="dxa"/>
          <w:bottom w:w="0" w:type="dxa"/>
          <w:right w:w="108" w:type="dxa"/>
        </w:tblCellMar>
      </w:tblPr>
      <w:tblGrid>
        <w:gridCol w:w="4355"/>
        <w:gridCol w:w="4905"/>
      </w:tblGrid>
      <w:tr w14:paraId="3206CE98">
        <w:tblPrEx>
          <w:tblCellMar>
            <w:top w:w="0" w:type="dxa"/>
            <w:left w:w="108" w:type="dxa"/>
            <w:bottom w:w="0" w:type="dxa"/>
            <w:right w:w="108" w:type="dxa"/>
          </w:tblCellMar>
        </w:tblPrEx>
        <w:trPr>
          <w:trHeight w:val="1578" w:hRule="atLeast"/>
        </w:trPr>
        <w:tc>
          <w:tcPr>
            <w:tcW w:w="4355" w:type="dxa"/>
            <w:noWrap w:val="0"/>
            <w:vAlign w:val="top"/>
          </w:tcPr>
          <w:p w14:paraId="1720AC98">
            <w:pPr>
              <w:spacing w:line="52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甲方：</w:t>
            </w:r>
          </w:p>
        </w:tc>
        <w:tc>
          <w:tcPr>
            <w:tcW w:w="4905" w:type="dxa"/>
            <w:noWrap w:val="0"/>
            <w:vAlign w:val="top"/>
          </w:tcPr>
          <w:p w14:paraId="2D850ADC">
            <w:pPr>
              <w:spacing w:line="52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乙方：</w:t>
            </w:r>
          </w:p>
        </w:tc>
      </w:tr>
      <w:tr w14:paraId="7759C96E">
        <w:tblPrEx>
          <w:tblCellMar>
            <w:top w:w="0" w:type="dxa"/>
            <w:left w:w="108" w:type="dxa"/>
            <w:bottom w:w="0" w:type="dxa"/>
            <w:right w:w="108" w:type="dxa"/>
          </w:tblCellMar>
        </w:tblPrEx>
        <w:trPr>
          <w:trHeight w:val="1543" w:hRule="atLeast"/>
        </w:trPr>
        <w:tc>
          <w:tcPr>
            <w:tcW w:w="4355" w:type="dxa"/>
            <w:noWrap w:val="0"/>
            <w:vAlign w:val="top"/>
          </w:tcPr>
          <w:p w14:paraId="070D8A4D">
            <w:pPr>
              <w:spacing w:line="52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单位负责人或委托代理人：</w:t>
            </w:r>
          </w:p>
        </w:tc>
        <w:tc>
          <w:tcPr>
            <w:tcW w:w="4905" w:type="dxa"/>
            <w:noWrap w:val="0"/>
            <w:vAlign w:val="top"/>
          </w:tcPr>
          <w:p w14:paraId="31B6F32E">
            <w:pPr>
              <w:spacing w:line="52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单位负责人或委托代理人：</w:t>
            </w:r>
          </w:p>
        </w:tc>
      </w:tr>
      <w:tr w14:paraId="44641AF4">
        <w:tblPrEx>
          <w:tblCellMar>
            <w:top w:w="0" w:type="dxa"/>
            <w:left w:w="108" w:type="dxa"/>
            <w:bottom w:w="0" w:type="dxa"/>
            <w:right w:w="108" w:type="dxa"/>
          </w:tblCellMar>
        </w:tblPrEx>
        <w:trPr>
          <w:trHeight w:val="926" w:hRule="atLeast"/>
        </w:trPr>
        <w:tc>
          <w:tcPr>
            <w:tcW w:w="4355" w:type="dxa"/>
            <w:noWrap w:val="0"/>
            <w:vAlign w:val="top"/>
          </w:tcPr>
          <w:p w14:paraId="2A857F7A">
            <w:pPr>
              <w:spacing w:line="52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日期：</w:t>
            </w:r>
          </w:p>
        </w:tc>
        <w:tc>
          <w:tcPr>
            <w:tcW w:w="4905" w:type="dxa"/>
            <w:noWrap w:val="0"/>
            <w:vAlign w:val="top"/>
          </w:tcPr>
          <w:p w14:paraId="4845BE48">
            <w:pPr>
              <w:spacing w:line="520" w:lineRule="exact"/>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日期：</w:t>
            </w:r>
          </w:p>
        </w:tc>
      </w:tr>
    </w:tbl>
    <w:p w14:paraId="0BFC384A">
      <w:pPr>
        <w:pStyle w:val="2"/>
      </w:pPr>
    </w:p>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4022236-4BBB-465A-A005-1DB730A15B40}"/>
  </w:font>
  <w:font w:name="黑体">
    <w:panose1 w:val="02010609060101010101"/>
    <w:charset w:val="86"/>
    <w:family w:val="auto"/>
    <w:pitch w:val="default"/>
    <w:sig w:usb0="800002BF" w:usb1="38CF7CFA" w:usb2="00000016" w:usb3="00000000" w:csb0="00040001" w:csb1="00000000"/>
    <w:embedRegular r:id="rId2" w:fontKey="{34AF9636-9DAE-465F-9EDB-8DE8C885F5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5CC4FD69-2603-4BCD-AAD1-F5A96AE34649}"/>
  </w:font>
  <w:font w:name="方正小标宋简体">
    <w:altName w:val="Arial Unicode MS"/>
    <w:panose1 w:val="02010601030101010101"/>
    <w:charset w:val="86"/>
    <w:family w:val="auto"/>
    <w:pitch w:val="default"/>
    <w:sig w:usb0="00000000" w:usb1="00000000" w:usb2="00000012" w:usb3="00000000" w:csb0="00040001" w:csb1="00000000"/>
    <w:embedRegular r:id="rId4" w:fontKey="{2AEF8A7C-F4A3-4A9A-BDF0-4C37A04D1E53}"/>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5" w:fontKey="{AF103DAE-0D4B-4711-A573-B89F50677427}"/>
  </w:font>
  <w:font w:name="微软雅黑">
    <w:panose1 w:val="020B0503020204020204"/>
    <w:charset w:val="86"/>
    <w:family w:val="auto"/>
    <w:pitch w:val="default"/>
    <w:sig w:usb0="80000287" w:usb1="2ACF3C50" w:usb2="00000016" w:usb3="00000000" w:csb0="0004001F" w:csb1="00000000"/>
    <w:embedRegular r:id="rId6" w:fontKey="{E1F9EADE-61EE-4493-B278-03DECE1DAC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D6F4F"/>
    <w:rsid w:val="00B35765"/>
    <w:rsid w:val="00C65FC8"/>
    <w:rsid w:val="00CC3A78"/>
    <w:rsid w:val="00CE21B5"/>
    <w:rsid w:val="00CF6641"/>
    <w:rsid w:val="00E8712A"/>
    <w:rsid w:val="00EF3803"/>
    <w:rsid w:val="00F47186"/>
    <w:rsid w:val="00FA5ACA"/>
    <w:rsid w:val="00FC1B97"/>
    <w:rsid w:val="02680F16"/>
    <w:rsid w:val="03340153"/>
    <w:rsid w:val="06044D8E"/>
    <w:rsid w:val="071938B9"/>
    <w:rsid w:val="0CF24C32"/>
    <w:rsid w:val="0DA008CC"/>
    <w:rsid w:val="0EBB3568"/>
    <w:rsid w:val="0EC60B07"/>
    <w:rsid w:val="10332904"/>
    <w:rsid w:val="10CF4970"/>
    <w:rsid w:val="10F63A27"/>
    <w:rsid w:val="14561BE7"/>
    <w:rsid w:val="172B4FA4"/>
    <w:rsid w:val="192A37C4"/>
    <w:rsid w:val="198577DD"/>
    <w:rsid w:val="19966094"/>
    <w:rsid w:val="1CA80820"/>
    <w:rsid w:val="1D6E70FD"/>
    <w:rsid w:val="21665943"/>
    <w:rsid w:val="244871F4"/>
    <w:rsid w:val="25295AB7"/>
    <w:rsid w:val="274E2D73"/>
    <w:rsid w:val="27EF733B"/>
    <w:rsid w:val="292902AA"/>
    <w:rsid w:val="29BB6BC2"/>
    <w:rsid w:val="2F1025C8"/>
    <w:rsid w:val="30104537"/>
    <w:rsid w:val="313868D1"/>
    <w:rsid w:val="325B49C3"/>
    <w:rsid w:val="326A7D77"/>
    <w:rsid w:val="3340393F"/>
    <w:rsid w:val="33EF3E56"/>
    <w:rsid w:val="39094D4C"/>
    <w:rsid w:val="3CCE5611"/>
    <w:rsid w:val="3CE71A85"/>
    <w:rsid w:val="412A6A1E"/>
    <w:rsid w:val="414032D5"/>
    <w:rsid w:val="4E9771C7"/>
    <w:rsid w:val="4EC118A7"/>
    <w:rsid w:val="4F1C52C5"/>
    <w:rsid w:val="4FDA2485"/>
    <w:rsid w:val="537D6A66"/>
    <w:rsid w:val="54F63A8A"/>
    <w:rsid w:val="5C7E1FD1"/>
    <w:rsid w:val="5D3B49BA"/>
    <w:rsid w:val="60E414E6"/>
    <w:rsid w:val="61E5759F"/>
    <w:rsid w:val="630B4433"/>
    <w:rsid w:val="696F3399"/>
    <w:rsid w:val="734E36BE"/>
    <w:rsid w:val="741C09D0"/>
    <w:rsid w:val="74343D24"/>
    <w:rsid w:val="764F97C9"/>
    <w:rsid w:val="78C53AE4"/>
    <w:rsid w:val="7E4F1D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40"/>
        <w:tab w:val="right" w:pos="8300"/>
      </w:tabs>
      <w:snapToGrid w:val="0"/>
      <w:jc w:val="left"/>
    </w:pPr>
    <w:rPr>
      <w:sz w:val="18"/>
      <w:szCs w:val="18"/>
    </w:rPr>
  </w:style>
  <w:style w:type="paragraph" w:styleId="3">
    <w:name w:val="Normal Indent"/>
    <w:basedOn w:val="1"/>
    <w:autoRedefine/>
    <w:qFormat/>
    <w:uiPriority w:val="0"/>
    <w:pPr>
      <w:ind w:firstLine="420"/>
    </w:pPr>
    <w:rPr>
      <w:szCs w:val="21"/>
    </w:rPr>
  </w:style>
  <w:style w:type="paragraph" w:styleId="4">
    <w:name w:val="annotation text"/>
    <w:basedOn w:val="1"/>
    <w:autoRedefine/>
    <w:qFormat/>
    <w:uiPriority w:val="0"/>
    <w:pPr>
      <w:jc w:val="left"/>
    </w:pPr>
  </w:style>
  <w:style w:type="paragraph" w:styleId="5">
    <w:name w:val="Body Text 3"/>
    <w:basedOn w:val="1"/>
    <w:qFormat/>
    <w:uiPriority w:val="99"/>
    <w:pPr>
      <w:jc w:val="center"/>
    </w:pPr>
    <w:rPr>
      <w:kern w:val="0"/>
      <w:sz w:val="16"/>
      <w:szCs w:val="16"/>
    </w:rPr>
  </w:style>
  <w:style w:type="paragraph" w:styleId="6">
    <w:name w:val="Body Text"/>
    <w:basedOn w:val="1"/>
    <w:next w:val="1"/>
    <w:autoRedefine/>
    <w:qFormat/>
    <w:uiPriority w:val="99"/>
    <w:pPr>
      <w:jc w:val="left"/>
    </w:pPr>
    <w:rPr>
      <w:kern w:val="0"/>
    </w:rPr>
  </w:style>
  <w:style w:type="paragraph" w:styleId="7">
    <w:name w:val="Plain Text"/>
    <w:basedOn w:val="1"/>
    <w:autoRedefine/>
    <w:qFormat/>
    <w:uiPriority w:val="0"/>
    <w:rPr>
      <w:rFonts w:ascii="宋体" w:hAnsi="Courier New"/>
      <w:kern w:val="0"/>
      <w:sz w:val="20"/>
    </w:rPr>
  </w:style>
  <w:style w:type="paragraph" w:styleId="8">
    <w:name w:val="Balloon Text"/>
    <w:basedOn w:val="1"/>
    <w:link w:val="18"/>
    <w:autoRedefine/>
    <w:qFormat/>
    <w:uiPriority w:val="0"/>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6"/>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8"/>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10</Pages>
  <Words>4396</Words>
  <Characters>4422</Characters>
  <Lines>12</Lines>
  <Paragraphs>3</Paragraphs>
  <TotalTime>0</TotalTime>
  <ScaleCrop>false</ScaleCrop>
  <LinksUpToDate>false</LinksUpToDate>
  <CharactersWithSpaces>4543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2025-08-26T09:53:27Z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