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版本号：HXGJXM2025-ZC-CS108820250827001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高新区困境儿童关爱服务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HXGJXM2025-ZC-CS1088</w:t>
      </w:r>
      <w:r>
        <w:br/>
      </w:r>
      <w:r>
        <w:br/>
      </w:r>
      <w:r>
        <w:br/>
      </w:r>
    </w:p>
    <w:p>
      <w:pPr>
        <w:pStyle w:val="null3"/>
        <w:jc w:val="center"/>
        <w:outlineLvl w:val="2"/>
      </w:pPr>
      <w:r>
        <w:rPr>
          <w:rFonts w:ascii="仿宋_GB2312" w:hAnsi="仿宋_GB2312" w:cs="仿宋_GB2312" w:eastAsia="仿宋_GB2312"/>
          <w:sz w:val="28"/>
          <w:b/>
        </w:rPr>
        <w:t>西安高新技术产业开发区社会事业服务局</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西安高新技术产业开发区社会事业服务局</w:t>
      </w:r>
      <w:r>
        <w:rPr>
          <w:rFonts w:ascii="仿宋_GB2312" w:hAnsi="仿宋_GB2312" w:cs="仿宋_GB2312" w:eastAsia="仿宋_GB2312"/>
        </w:rPr>
        <w:t>委托，拟对</w:t>
      </w:r>
      <w:r>
        <w:rPr>
          <w:rFonts w:ascii="仿宋_GB2312" w:hAnsi="仿宋_GB2312" w:cs="仿宋_GB2312" w:eastAsia="仿宋_GB2312"/>
        </w:rPr>
        <w:t>高新区困境儿童关爱服务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HXGJXM2025-ZC-CS1088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高新区困境儿童关爱服务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为促进困境儿童身心健康成长为目标，根据省市相关文件要求，高新区社会事业服务局拟实施本次委托第三方开展困境儿童关爱服务项目，作为“健全困境儿童心理健康关爱”的重要举措。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采购包1（高新区困境儿童关爱服务）：属于专门面向中小企业采购。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磋商截止日前一年内已缴存的至少一个月的社会保障资金凭证）；法定代表人直接参加磋商，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2、信用记录：供应商未被“信用中国”网站列入失信被执行人和重大税收违法失信主体，未被中国政府采购网列入政府采购严重违法失信行为记录名单(处罚期限届满的除外)（以现场信用记录查询结果为准）。</w:t>
      </w:r>
    </w:p>
    <w:p>
      <w:pPr>
        <w:pStyle w:val="null3"/>
      </w:pPr>
      <w:r>
        <w:rPr>
          <w:rFonts w:ascii="仿宋_GB2312" w:hAnsi="仿宋_GB2312" w:cs="仿宋_GB2312" w:eastAsia="仿宋_GB2312"/>
        </w:rPr>
        <w:t>3、联合体：不接受联合体投标。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西安高新技术产业开发区社会事业服务局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029-81150321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宋文倩、张艳萍、康敏茹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采购包1：264,200.00元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代理服务费收费标准：定额：6000元。 成交单位在领取成交通知书前，须向采购代理机构一次性支付招标代理服务费。 户名：华夏国际项目管理（西安）有限公司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西安高新技术产业开发区社会事业服务局</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西安高新技术产业开发区社会事业服务局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西安高新技术产业开发区社会事业服务局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联系人：宋文倩、张艳萍、康敏茹</w:t>
      </w:r>
    </w:p>
    <w:p>
      <w:pPr>
        <w:pStyle w:val="null3"/>
      </w:pPr>
      <w:r>
        <w:rPr>
          <w:rFonts w:ascii="仿宋_GB2312" w:hAnsi="仿宋_GB2312" w:cs="仿宋_GB2312" w:eastAsia="仿宋_GB2312"/>
        </w:rPr>
        <w:t>联系电话：029-88899970-830</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为促进困境儿童身心健康成长为目标，根据省市相关文件要求，高新区社会事业服务局拟实施本次委托第三方开展困境儿童关爱服务项目，作为“健全困境儿童心理健康关爱”的重要举措。</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264,200.00</w:t>
      </w:r>
    </w:p>
    <w:p>
      <w:pPr>
        <w:pStyle w:val="null3"/>
      </w:pPr>
      <w:r>
        <w:rPr>
          <w:rFonts w:ascii="仿宋_GB2312" w:hAnsi="仿宋_GB2312" w:cs="仿宋_GB2312" w:eastAsia="仿宋_GB2312"/>
        </w:rPr>
        <w:t>采购包最高限价（元）: 264,200.00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困境儿童关爱服务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264,200.00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标的名称：困境儿童关爱服务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一、服务范围</w:t>
            </w:r>
          </w:p>
          <w:p>
            <w:pPr>
              <w:pStyle w:val="null3"/>
              <w:ind w:firstLine="420"/>
              <w:jc w:val="both"/>
            </w:pPr>
            <w:r>
              <w:rPr>
                <w:rFonts w:ascii="仿宋_GB2312" w:hAnsi="仿宋_GB2312" w:cs="仿宋_GB2312" w:eastAsia="仿宋_GB2312"/>
                <w:sz w:val="21"/>
              </w:rPr>
              <w:t>高新区辖区内孤儿、事实无人抚养儿童、留守儿童、低保家庭儿童及其他有需要的社会儿童约200人。</w:t>
            </w:r>
          </w:p>
          <w:p>
            <w:pPr>
              <w:pStyle w:val="null3"/>
              <w:jc w:val="both"/>
            </w:pPr>
            <w:r>
              <w:rPr>
                <w:rFonts w:ascii="仿宋_GB2312" w:hAnsi="仿宋_GB2312" w:cs="仿宋_GB2312" w:eastAsia="仿宋_GB2312"/>
                <w:sz w:val="21"/>
                <w:b/>
              </w:rPr>
              <w:t>二、服务内容</w:t>
            </w:r>
          </w:p>
          <w:p>
            <w:pPr>
              <w:pStyle w:val="null3"/>
              <w:ind w:firstLine="210"/>
              <w:jc w:val="both"/>
            </w:pPr>
            <w:r>
              <w:rPr>
                <w:rFonts w:ascii="仿宋_GB2312" w:hAnsi="仿宋_GB2312" w:cs="仿宋_GB2312" w:eastAsia="仿宋_GB2312"/>
                <w:sz w:val="21"/>
              </w:rPr>
              <w:t>1.项目启动：联动民政、教育、卫健、 团委、妇联、学校、街道、公安等可用资源开展项目启动仪式，介绍项目，说明项目内容及制定工作开展计划。儿童及家长 130人次，利益方单位，社工、志愿者、专家、项目进度计划表。</w:t>
            </w:r>
          </w:p>
          <w:p>
            <w:pPr>
              <w:pStyle w:val="null3"/>
              <w:ind w:firstLine="210"/>
              <w:jc w:val="both"/>
            </w:pPr>
            <w:r>
              <w:rPr>
                <w:rFonts w:ascii="仿宋_GB2312" w:hAnsi="仿宋_GB2312" w:cs="仿宋_GB2312" w:eastAsia="仿宋_GB2312"/>
                <w:sz w:val="21"/>
              </w:rPr>
              <w:t>2.档案管理：联合各街道儿童督导员、志愿者及专家，建立困境儿童心理健康档案动态档案。分层分类整理、确保一人一策，为有需要的儿童定制关爱方案及提供预防类服务。结合高新区各社区现有档案，建立符合要求的服务档案花名册不低于100人同时经专家评估后，筛选一定数量的特殊需求儿童</w:t>
            </w:r>
          </w:p>
          <w:p>
            <w:pPr>
              <w:pStyle w:val="null3"/>
              <w:ind w:firstLine="210"/>
              <w:jc w:val="both"/>
            </w:pPr>
            <w:r>
              <w:rPr>
                <w:rFonts w:ascii="仿宋_GB2312" w:hAnsi="仿宋_GB2312" w:cs="仿宋_GB2312" w:eastAsia="仿宋_GB2312"/>
                <w:sz w:val="21"/>
              </w:rPr>
              <w:t>3.研学关爱活动：开展走进动物园、博物馆、观看电影等研学活动，不少于5次。动物园可以让孩子们接触自然，学习动物知识；博物馆能让他们了解历史和文化；电影则是一种娱乐和教育结合的方式。这些活动有助于困境儿童的全面发展，增强他们的自信心和社会适应能力。</w:t>
            </w:r>
          </w:p>
          <w:p>
            <w:pPr>
              <w:pStyle w:val="null3"/>
              <w:ind w:firstLine="210"/>
              <w:jc w:val="both"/>
            </w:pPr>
            <w:r>
              <w:rPr>
                <w:rFonts w:ascii="仿宋_GB2312" w:hAnsi="仿宋_GB2312" w:cs="仿宋_GB2312" w:eastAsia="仿宋_GB2312"/>
                <w:sz w:val="21"/>
              </w:rPr>
              <w:t>4.心理健康测评：配合相关专业团队，进行困境儿童心理健康测评。</w:t>
            </w:r>
          </w:p>
          <w:p>
            <w:pPr>
              <w:pStyle w:val="null3"/>
              <w:ind w:firstLine="210"/>
              <w:jc w:val="both"/>
            </w:pPr>
            <w:r>
              <w:rPr>
                <w:rFonts w:ascii="仿宋_GB2312" w:hAnsi="仿宋_GB2312" w:cs="仿宋_GB2312" w:eastAsia="仿宋_GB2312"/>
                <w:sz w:val="21"/>
              </w:rPr>
              <w:t>5.个案服务：根据动态档案分类情况，对存在心理异常的儿童开展心理疏导及时与儿童父母或其他监护人沟通，协助其监护人采取专业治疗措施。有需要专业支持的复杂个案，及时链接专业资源进行早期干预。做好特殊案例早期干预、并根据动态档案分类情况，对存在心理异常的儿童做，及时与儿童父母或其他监护人沟通，协助其监护人采取专业治疗措施。有需要专业支持的 复杂个案，及时链接专业资源进行早期干预。做好特殊案例早期干预、并及时更新档案。个案服务不低于5个。</w:t>
            </w:r>
          </w:p>
          <w:p>
            <w:pPr>
              <w:pStyle w:val="null3"/>
              <w:ind w:firstLine="210"/>
              <w:jc w:val="both"/>
            </w:pPr>
            <w:r>
              <w:rPr>
                <w:rFonts w:ascii="仿宋_GB2312" w:hAnsi="仿宋_GB2312" w:cs="仿宋_GB2312" w:eastAsia="仿宋_GB2312"/>
                <w:sz w:val="21"/>
              </w:rPr>
              <w:t>6.跟踪随访：做好困境儿童出院回归社区后的跟踪帮扶服务，动员儿童督导员、儿童主任和社工共同开展定期随访和跟踪。</w:t>
            </w:r>
          </w:p>
          <w:p>
            <w:pPr>
              <w:pStyle w:val="null3"/>
              <w:ind w:firstLine="210"/>
              <w:jc w:val="both"/>
            </w:pPr>
            <w:r>
              <w:rPr>
                <w:rFonts w:ascii="仿宋_GB2312" w:hAnsi="仿宋_GB2312" w:cs="仿宋_GB2312" w:eastAsia="仿宋_GB2312"/>
                <w:sz w:val="21"/>
              </w:rPr>
              <w:t>7.技能提升：将儿童心理健康关爱服务技能作为基层儿童工作者重要学习内容，定期开展区级、街道和社区全覆盖的相关人员人员培训，提升其业务素养能力，为困境儿童心理健康服务工作注入活力。开展培训不少于3次。</w:t>
            </w:r>
          </w:p>
          <w:p>
            <w:pPr>
              <w:pStyle w:val="null3"/>
              <w:ind w:firstLine="210"/>
              <w:jc w:val="both"/>
            </w:pPr>
            <w:r>
              <w:rPr>
                <w:rFonts w:ascii="仿宋_GB2312" w:hAnsi="仿宋_GB2312" w:cs="仿宋_GB2312" w:eastAsia="仿宋_GB2312"/>
                <w:sz w:val="21"/>
              </w:rPr>
              <w:t>8.线上线下宣传：电视台、微信公众号、微博、网站、美篇、头条等宣传链接记录表，按照“一街一村（居）、一户一档”要求，做好新增入户调宣传手册、横幅、海报、展架、彩页等宣传图片库进行宣传。</w:t>
            </w:r>
          </w:p>
          <w:p>
            <w:pPr>
              <w:pStyle w:val="null3"/>
              <w:jc w:val="both"/>
            </w:pPr>
            <w:r>
              <w:rPr>
                <w:rFonts w:ascii="仿宋_GB2312" w:hAnsi="仿宋_GB2312" w:cs="仿宋_GB2312" w:eastAsia="仿宋_GB2312"/>
                <w:sz w:val="21"/>
              </w:rPr>
              <w:t xml:space="preserve">    9.结项总结：共计1次，主要内容涵盖、成果汇报、经验分享、探索展望与结束环节。项目负责人汇报成果，播放包含儿童及家长采访的结项视频，成果手册，直观呈现项目历程与影响。然后，受益儿童、家长及合作单位代表上台分享感受与经验。随后，项目相关方围绕儿童关爱服务模式展开研讨，设置提问环节鼓励交流。最后，为项目团队、志愿者、合作单位颁发荣誉证书与纪念品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服务满半年后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(3)提供递交响应文件截止之日前一年内任意一个月的依法缴纳税收的完税证明，完税证明应有税务机关或代收机关的公章或业务专用章。依法免税或无须缴纳税收的供应商，应提供相应证明文件； (4)提供磋商截止日前一年内已缴存的至少一个月的社会保障资金缴存单据或社保机构开具的社会保险参保缴 费情况证明，依法不需要缴纳社会保 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磋商资格证明文件.docx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磋商资格证明文件.docx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供应商未被“信用中国”网站列入失信被执行人和重大税收违法失信主体，未被中国政府采购网列入政府采购严重违法失信行为记录名单(处罚期限届满的除外)（以现场信用记录查询结果为准）。</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不接受联合体投标。</w:t>
            </w:r>
          </w:p>
        </w:tc>
        <w:tc>
          <w:tcPr>
            <w:tcW w:type="dxa" w:w="1661"/>
          </w:tcPr>
          <w:p>
            <w:pPr>
              <w:pStyle w:val="null3"/>
            </w:pPr>
            <w:r>
              <w:rPr>
                <w:rFonts w:ascii="仿宋_GB2312" w:hAnsi="仿宋_GB2312" w:cs="仿宋_GB2312" w:eastAsia="仿宋_GB2312"/>
              </w:rPr>
              <w:t>磋商资格证明文件.docx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响应文件封面 残疾人福利性单位声明函 服务方案 标的清单 商务条款偏离表及投入人员汇总.docx 其他资料.docx 磋商资格证明文件.docx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响应文件封面 残疾人福利性单位声明函 服务方案 标的清单 商务条款偏离表及投入人员汇总.docx 其他资料.docx 磋商资格证明文件.docx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响应文件封面 残疾人福利性单位声明函 服务方案 标的清单 商务条款偏离表及投入人员汇总.docx 其他资料.docx 磋商资格证明文件.docx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 商务条款偏离表及投入人员汇总.docx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响应文件封面 残疾人福利性单位声明函 服务方案 标的清单 商务条款偏离表及投入人员汇总.docx 其他资料.docx 磋商资格证明文件.docx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的采购要求，对供应商的总体服务方案（项目启动、档案管理、研学关爱活动、心理健康测评、个案服务、跟踪随访、技能提升、线上线下宣传、结项总结）的完整性、详细程度、合理性及可行性进行评审 , 根据其响应情况横向比较打分。 （1）方案制定详细、针对性强、可行性强计20分； （2）方案制定较详细 、针对性较强计15分； （3）方案制定一般、可行性一般计10分； （4）方案欠缺周全，可行性差计5分； 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工作总体安排</w:t>
            </w:r>
          </w:p>
        </w:tc>
        <w:tc>
          <w:tcPr>
            <w:tcW w:type="dxa" w:w="2492"/>
          </w:tcPr>
          <w:p>
            <w:pPr>
              <w:pStyle w:val="null3"/>
            </w:pPr>
            <w:r>
              <w:rPr>
                <w:rFonts w:ascii="仿宋_GB2312" w:hAnsi="仿宋_GB2312" w:cs="仿宋_GB2312" w:eastAsia="仿宋_GB2312"/>
              </w:rPr>
              <w:t>（1）工作总体计划安排思路清晰、合理 、可行，对项目实施具有较强的指导作用的计20分； （2）思路较清晰、具有一定的合理性和可行性，对项目实施可起到一定指导作用的计15分； （3）思路基本清晰 、基本可行，项目基本可以正常实施的计10分。 （4）思路不清晰 、合理性和可行性较差，影响项目实施的计5分。 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（1）重点难点内容分析透彻、明确，且出具多元化、科学性、合理性强的解决方案的计10分； （2）重点难点内容分析较透彻、较明确，出具的解决方案科学合理性一般的计7分 ; （3）重点难点内容分析不太透彻、基本准确，出具的解决方案基本合理的计4分； （4）重点难点内容分析不透彻、不准确，出具的解决方案不合理的计1分；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（1）供应商针对本项目的服务承诺的合理、可行，能及时响应采购人的服务要求，有针对本项目，有利于采购人的合理化建设性意见计15分； （2）服务承诺的较合理，有合理化建议，能响应采购人的服务要求，提出的建议较合理的计10分； （3）服务承诺基本合理，建议基本合理，基本响应采购人的服务要求，提出的建议大致合理计5分； （4）服务承诺不合理，无合理化建议，不能响应采购人的服务要求，提出的建议较不合理计1分。 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（1）质量保证措施全面，细致，质量体系健全，工作程序清晰，安排合理 , 保证措施符合本项目需求计8分； （2）质量保证措施较全面，质量体系比较健全，工作程序较清晰、安排较合理、保证措施较符合本项目需求计5分； （3）质量保证措施较基本健全，工作程序基本清晰，安排基本合理，保证措施基本符合本项目需求计3分。 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1、项目负责人具有心理治疗师专业职称，得5分； 2、根据本项目拟投入人员的职称、专业、数量、从事类似服务的相关经验等对所有有效供应商进行赋分： （1）劳动力安排计划及劳务分配合理、可行，得10分； （2）劳动力安排计划及劳务分配情况分配较好、可行性较好，得7分； （3）可行劳动力安排计划及劳务分配基本可行，得4分； （4）劳动力安排计划及劳务分配可行性较差，得1分；未提供得0分。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供应商需提供1份2022年8月1日至今类似项目业绩，投标文件中附有其业绩证明材料（以合同签订时间为准）得2分。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3.磋商报价得分=（磋商基准价/最终磋商报价）×10的公式计算得分。 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详见附件：供应商应提交的相关业绩证明材料.docx</w:t>
      </w:r>
    </w:p>
    <w:p>
      <w:pPr>
        <w:pStyle w:val="null3"/>
        <w:ind w:firstLine="960"/>
      </w:pPr>
      <w:r>
        <w:rPr>
          <w:rFonts w:ascii="仿宋_GB2312" w:hAnsi="仿宋_GB2312" w:cs="仿宋_GB2312" w:eastAsia="仿宋_GB2312"/>
        </w:rPr>
        <w:t>详见附件：磋商资格证明文件.docx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详见附件：CS1088合同文本.docx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