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版本号：HDZB-2025-11820250827001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中创区J1-01地块新建中学项目(暂定名)建设代建单位采购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HDZB-2025-118</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华鼎工程咨询集团有限公司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华鼎工程咨询集团有限公司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中创区J1-01地块新建中学项目(暂定名)建设代建单位采购</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HDZB-2025-118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中创区J1-01地块新建中学项目(暂定名)建设代建单位采购</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项目建设规模及内容:项目位于西安高新区润德路以南、创智一路以西、兴德路以北、创智二路以东。项目规划总建筑面积约40768.70平方米，主要建设内容包括教学楼、综合楼、体育运动场、地下车库及配套设施。</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采购包1（中创区J1-01地块新建中学项目（暂定名）建设代建单位采购）：属于专门面向中小企业采购。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029-81132005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华鼎工程咨询集团有限公司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西安市高新区锦业路高科尚都·one尚城A座3楼30310室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029-88664460-8007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采购包1：3,053,700.00元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代理服务费收费标准：根据《招标代理服务收费管理暂行办法》（计价格[2002]1980号）以及 《关于进一步放开建设项目专项业务服务价格的通知》（发改价格[2015]299号）规定的标准下浮65％收取。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华鼎工程咨询集团有限公司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华鼎工程咨询集团有限公司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华鼎工程咨询集团有限公司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联系人：薛工</w:t>
      </w:r>
    </w:p>
    <w:p>
      <w:pPr>
        <w:pStyle w:val="null3"/>
      </w:pPr>
      <w:r>
        <w:rPr>
          <w:rFonts w:ascii="仿宋_GB2312" w:hAnsi="仿宋_GB2312" w:cs="仿宋_GB2312" w:eastAsia="仿宋_GB2312"/>
        </w:rPr>
        <w:t>联系电话：029-81310999</w:t>
      </w:r>
    </w:p>
    <w:p>
      <w:pPr>
        <w:pStyle w:val="null3"/>
      </w:pPr>
      <w:r>
        <w:rPr>
          <w:rFonts w:ascii="仿宋_GB2312" w:hAnsi="仿宋_GB2312" w:cs="仿宋_GB2312" w:eastAsia="仿宋_GB2312"/>
        </w:rPr>
        <w:t>地址：西安市高新区锦业路高科尚都·one尚城A座3楼30310室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项目建设规模及内容:项目位于西安高新区润德路以南、创智一路以西、兴德路以北、创智二路以东。项目规划总建筑面积约40768.70平方米，主要建设内容包括教学楼、综合楼、体育运动场、地下车库及配套设施。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3,053,700.00</w:t>
      </w:r>
    </w:p>
    <w:p>
      <w:pPr>
        <w:pStyle w:val="null3"/>
      </w:pPr>
      <w:r>
        <w:rPr>
          <w:rFonts w:ascii="仿宋_GB2312" w:hAnsi="仿宋_GB2312" w:cs="仿宋_GB2312" w:eastAsia="仿宋_GB2312"/>
        </w:rPr>
        <w:t>采购包最高限价（元）: 3,053,700.00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代建单位采购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3,053,700.00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标的名称：代建单位采购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中创区J1-01地块新建中学项目（暂定名）建设代建单位采购采购需求</w:t>
            </w:r>
          </w:p>
          <w:p>
            <w:pPr>
              <w:pStyle w:val="null3"/>
            </w:pPr>
            <w:r>
              <w:rPr>
                <w:rFonts w:ascii="仿宋_GB2312" w:hAnsi="仿宋_GB2312" w:cs="仿宋_GB2312" w:eastAsia="仿宋_GB2312"/>
              </w:rPr>
              <w:t>一、项目概况</w:t>
            </w:r>
            <w:r>
              <w:br/>
            </w:r>
            <w:r>
              <w:rPr>
                <w:rFonts w:ascii="仿宋_GB2312" w:hAnsi="仿宋_GB2312" w:cs="仿宋_GB2312" w:eastAsia="仿宋_GB2312"/>
              </w:rPr>
              <w:t xml:space="preserve"> 项目位于西安高新区润德路以南、创智一路以西、兴德路以北、创智二路以东。项目规划总建筑面积约40768.70平方米，主要建设内容包括教学楼、综合楼、体育运动场、地下车库及配套设施。</w:t>
            </w:r>
            <w:r>
              <w:br/>
            </w:r>
            <w:r>
              <w:rPr>
                <w:rFonts w:ascii="仿宋_GB2312" w:hAnsi="仿宋_GB2312" w:cs="仿宋_GB2312" w:eastAsia="仿宋_GB2312"/>
              </w:rPr>
              <w:t xml:space="preserve"> 二、采购方案</w:t>
            </w:r>
            <w:r>
              <w:br/>
            </w:r>
            <w:r>
              <w:rPr>
                <w:rFonts w:ascii="仿宋_GB2312" w:hAnsi="仿宋_GB2312" w:cs="仿宋_GB2312" w:eastAsia="仿宋_GB2312"/>
              </w:rPr>
              <w:t xml:space="preserve"> ( 一 )采购范围</w:t>
            </w:r>
            <w:r>
              <w:br/>
            </w:r>
            <w:r>
              <w:rPr>
                <w:rFonts w:ascii="仿宋_GB2312" w:hAnsi="仿宋_GB2312" w:cs="仿宋_GB2312" w:eastAsia="仿宋_GB2312"/>
              </w:rPr>
              <w:t xml:space="preserve"> 中创区J1-01地块新建中学项目（暂定名）建设代建单位采购。</w:t>
            </w:r>
            <w:r>
              <w:br/>
            </w:r>
            <w:r>
              <w:rPr>
                <w:rFonts w:ascii="仿宋_GB2312" w:hAnsi="仿宋_GB2312" w:cs="仿宋_GB2312" w:eastAsia="仿宋_GB2312"/>
              </w:rPr>
              <w:t xml:space="preserve"> (二)采购组织方式</w:t>
            </w:r>
            <w:r>
              <w:br/>
            </w:r>
            <w:r>
              <w:rPr>
                <w:rFonts w:ascii="仿宋_GB2312" w:hAnsi="仿宋_GB2312" w:cs="仿宋_GB2312" w:eastAsia="仿宋_GB2312"/>
              </w:rPr>
              <w:t xml:space="preserve"> 依照《政府采购法》、《政府采购货物和服务招标投标管理办法》 及西安市有关规定，宜采用政府采购方式组织采购。</w:t>
            </w:r>
            <w:r>
              <w:br/>
            </w:r>
            <w:r>
              <w:rPr>
                <w:rFonts w:ascii="仿宋_GB2312" w:hAnsi="仿宋_GB2312" w:cs="仿宋_GB2312" w:eastAsia="仿宋_GB2312"/>
              </w:rPr>
              <w:t xml:space="preserve"> 三、技术要求</w:t>
            </w:r>
            <w:r>
              <w:br/>
            </w:r>
            <w:r>
              <w:rPr>
                <w:rFonts w:ascii="仿宋_GB2312" w:hAnsi="仿宋_GB2312" w:cs="仿宋_GB2312" w:eastAsia="仿宋_GB2312"/>
              </w:rPr>
              <w:t xml:space="preserve"> ( 一 )商务要求</w:t>
            </w:r>
            <w:r>
              <w:br/>
            </w:r>
            <w:r>
              <w:rPr>
                <w:rFonts w:ascii="仿宋_GB2312" w:hAnsi="仿宋_GB2312" w:cs="仿宋_GB2312" w:eastAsia="仿宋_GB2312"/>
              </w:rPr>
              <w:t xml:space="preserve"> 1、投标人须为国内注册的独立法人机构，具有独立法人资格，具备合法有效的营业执照。</w:t>
            </w:r>
            <w:r>
              <w:br/>
            </w:r>
            <w:r>
              <w:rPr>
                <w:rFonts w:ascii="仿宋_GB2312" w:hAnsi="仿宋_GB2312" w:cs="仿宋_GB2312" w:eastAsia="仿宋_GB2312"/>
              </w:rPr>
              <w:t xml:space="preserve"> 2、投标人企业信誉良好，具有类似项目代建经验及业绩，具有相应资金实力及融资能力。</w:t>
            </w:r>
            <w:r>
              <w:br/>
            </w:r>
            <w:r>
              <w:rPr>
                <w:rFonts w:ascii="仿宋_GB2312" w:hAnsi="仿宋_GB2312" w:cs="仿宋_GB2312" w:eastAsia="仿宋_GB2312"/>
              </w:rPr>
              <w:t xml:space="preserve"> (二)技术要求</w:t>
            </w:r>
            <w:r>
              <w:br/>
            </w:r>
            <w:r>
              <w:rPr>
                <w:rFonts w:ascii="仿宋_GB2312" w:hAnsi="仿宋_GB2312" w:cs="仿宋_GB2312" w:eastAsia="仿宋_GB2312"/>
              </w:rPr>
              <w:t xml:space="preserve"> 1、投标单位近两年无重大质量和安全事故发生，在同类项目建设中无违规违纪违法记录，若有隐瞒，取消投标单位投标资格。</w:t>
            </w:r>
            <w:r>
              <w:br/>
            </w:r>
            <w:r>
              <w:rPr>
                <w:rFonts w:ascii="仿宋_GB2312" w:hAnsi="仿宋_GB2312" w:cs="仿宋_GB2312" w:eastAsia="仿宋_GB2312"/>
              </w:rPr>
              <w:t xml:space="preserve"> 2、投标单位的相关服务须满足采购方的主要技术标准，不符合采购方采购标准及要求的，取消投标单位投标资格。</w:t>
            </w:r>
            <w:r>
              <w:br/>
            </w:r>
            <w:r>
              <w:rPr>
                <w:rFonts w:ascii="仿宋_GB2312" w:hAnsi="仿宋_GB2312" w:cs="仿宋_GB2312" w:eastAsia="仿宋_GB2312"/>
              </w:rPr>
              <w:t xml:space="preserve"> 四 、采购清单及要求</w:t>
            </w:r>
            <w:r>
              <w:br/>
            </w:r>
            <w:r>
              <w:rPr>
                <w:rFonts w:ascii="仿宋_GB2312" w:hAnsi="仿宋_GB2312" w:cs="仿宋_GB2312" w:eastAsia="仿宋_GB2312"/>
              </w:rPr>
              <w:t xml:space="preserve"> 中创区J1-01地块新建中学项目（暂定名）建设全过程代建管理工作， 项目名称：中创区J1-01地块新建中学项目（暂定名）建设代建单位采购，全过程代建工作的主要内容包括但不限于：对项目建设的投资估算、项目策划、勘察设计、招投标、施工、监理、材料设备采购、竣工验收、竣工结算进行管理并办理相关手续。</w:t>
            </w:r>
            <w:r>
              <w:br/>
            </w:r>
            <w:r>
              <w:rPr>
                <w:rFonts w:ascii="仿宋_GB2312" w:hAnsi="仿宋_GB2312" w:cs="仿宋_GB2312" w:eastAsia="仿宋_GB2312"/>
              </w:rPr>
              <w:t xml:space="preserve"> 根据建设单位的委托和国家相关规定，投标单位代理建设单位选聘项目参建方(包括但不限于勘察、设计、施工、监理、材料设备供应、招投标代理等单位),对参建各方进行管理和监督，代表建设单位对项目建设相关的全部工作进行监督和协调，实行全过程管理，并向建设单位整体交付建设工程项目产成品(项目竣工验收合格并交付 投用，项目财政投资评审结算完毕)。</w:t>
            </w:r>
            <w:r>
              <w:br/>
            </w:r>
            <w:r>
              <w:rPr>
                <w:rFonts w:ascii="仿宋_GB2312" w:hAnsi="仿宋_GB2312" w:cs="仿宋_GB2312" w:eastAsia="仿宋_GB2312"/>
              </w:rPr>
              <w:t xml:space="preserve"> 项目建设过程中严格执行《招标投标法》、《政府采购法》以及国家、省市的各项法律、法规及规章制度。</w:t>
            </w:r>
            <w:r>
              <w:br/>
            </w:r>
            <w:r>
              <w:rPr>
                <w:rFonts w:ascii="仿宋_GB2312" w:hAnsi="仿宋_GB2312" w:cs="仿宋_GB2312" w:eastAsia="仿宋_GB2312"/>
              </w:rPr>
              <w:t xml:space="preserve"> 五、采购限价及服务期限</w:t>
            </w:r>
            <w:r>
              <w:br/>
            </w:r>
            <w:r>
              <w:rPr>
                <w:rFonts w:ascii="仿宋_GB2312" w:hAnsi="仿宋_GB2312" w:cs="仿宋_GB2312" w:eastAsia="仿宋_GB2312"/>
              </w:rPr>
              <w:t xml:space="preserve"> 1、中创区J1-01地块新建中学项目（暂定名）建设代建管理费最高限价：按照“关于印发《基本建设项目建设成本管理规定》的通知”(财建 [2016]504号)文件规定，为305.37万元。</w:t>
            </w:r>
            <w:r>
              <w:br/>
            </w:r>
            <w:r>
              <w:rPr>
                <w:rFonts w:ascii="仿宋_GB2312" w:hAnsi="仿宋_GB2312" w:cs="仿宋_GB2312" w:eastAsia="仿宋_GB2312"/>
              </w:rPr>
              <w:t xml:space="preserve"> 2、服务期限：至项目验收合格交付使用方使用，工程结算完毕质保期届满之日结束。</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甲方应及时按季度向乙方支付代建管理费。每次支付代建管理费的计算公式：每季度的代建管理费=每季度本次完成投资额× 中标代建管理费费率×考核得分百分比。每次付款前，乙方应开具等额增值税普通发票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甲方应及时按季度向乙方支付代建管理费。每次支付代建管理费的计算公式：每季度的代建管理费=每季度本次完成投资额×中标代建管理费费率×考核得分百分比。每次付款前，乙方应开具等额增值税普通发票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甲方应及时按季度向乙方支付代建管理费。每次支付代建管理费的计算公式：每季度的代建管理费=每季度本次完成投资额×中标代建管理费费率×考核得分百分比。每次付款前，乙方应开具等额增值税普通发票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甲方应及时按季度向乙方支付代建管理费。每次支付代建管理费的计算公式：每季度的代建管理费=每季度本次完成投资额× 中标代建管理费费率×考核得分百分比。每次付款前，乙方应开具等额增值税普通发票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甲方应及时按季度向乙方支付代建管理费。每次支付代建管理费的计算公式：每季度的代建管理费=每季度本次完成投资额×中标代建管理费费率×考核得分百分比。每次付款前，乙方应开具等额增值税普通发票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16.66</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待工程结算，并经甲方审定后，确定本项目投资额的同时确定本项目的代建管理费。甲方应在最后一笔工程质保金支付完成后及时将剩余未支付的代建管理费一次性支付给乙方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16.70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按招标文件及合同要求执行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保障政府采购电子化交易平台项目实施，投标人需要在线提交所有通过电子化交易平台实施的政府采购项目的投标文件，中标单位领取中标通知书时须提交投标文件正本壹套、副本贰套、电子版(U盘贰套）。纸质投标文件应与电子投标文件保持一致。递交文件地点西安市高新区锦业路高科尚都·one尚城A座3楼30310室 2.如招标文件中融资相关内容与新政策要求有出入，按照最新要求执行。 2.本项目代建费最高限价为3053700.00元，代建费费率限价：1.15％，投标报价高于最高限价的投标视为无效投标，本项目总投资额约265366600.00元，各投标单位结合企业自身情况自主报价，最终以中标金额折算为代建管理费费率签订合同， 代建管理费费率=中标投标报价/项目总投资额*100％，保留小数点后两位。</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（1）投标人应具有独立承担民事责任的能力：提供投标人的营业执照等证明文件，自然人的身份证明等扫描件； （2）投标人依法缴纳税收、缴纳社会保障金、具有履行合同所必需的设备和专业技术能力、参加政府采购活动前三年内，在经营活动中没有重大违法记录，投标人按照招标文件提供的《基本资格条件承诺函》进行承诺； （3）未被列入失信被执行人、重大税收违法案件当事人名单及政府采购严重违法失信行为记录名单的证明材料：提供《基本资格条件承诺函》。</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提供《基本资格条件承诺函》。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 《投标函》完成承诺并进行电子签章。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法定代表人直接参加投标的，须出具法定代表人身份证明及法人身份证；法定代表人授权代表参加投标的，须出具法定代表人授权委托书和被授权人身份证及该人员在本单位缴纳社保记录证明(近3个月)。</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本项目专门面向中小企业采购，供应商应当为中小企业（含残疾人福利性单位）。</w:t>
            </w:r>
          </w:p>
        </w:tc>
        <w:tc>
          <w:tcPr>
            <w:tcW w:type="dxa" w:w="1661"/>
          </w:tcPr>
          <w:p>
            <w:pPr>
              <w:pStyle w:val="null3"/>
            </w:pPr>
            <w:r>
              <w:rPr>
                <w:rFonts w:ascii="仿宋_GB2312" w:hAnsi="仿宋_GB2312" w:cs="仿宋_GB2312" w:eastAsia="仿宋_GB2312"/>
              </w:rPr>
              <w:t>中小企业声明函 残疾人福利性单位声明函 服务内容及服务要求应答表 投标文件封面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1.投标文件上法定代表人或其授权代表人的签字齐全并加盖公章； 2.应符合“投标文件格式”要求； 3.只能有一个有效报价，不得提交选择性报价，且报价不超过采购预算金额或最高限价；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投标函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投标文件内容齐全、无遗漏 (除评标因素外）</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响应性审查</w:t>
            </w:r>
          </w:p>
        </w:tc>
        <w:tc>
          <w:tcPr>
            <w:tcW w:type="dxa" w:w="3322"/>
          </w:tcPr>
          <w:p>
            <w:pPr>
              <w:pStyle w:val="null3"/>
            </w:pPr>
            <w:r>
              <w:rPr>
                <w:rFonts w:ascii="仿宋_GB2312" w:hAnsi="仿宋_GB2312" w:cs="仿宋_GB2312" w:eastAsia="仿宋_GB2312"/>
              </w:rPr>
              <w:t>1.要求全面响应，不能有任何采购人不能接受的附加条件；2.投标文件中服务期应满足招标文件中要求的服务期； 3.投标有效期应满足招标文件中的规定。</w:t>
            </w:r>
          </w:p>
        </w:tc>
        <w:tc>
          <w:tcPr>
            <w:tcW w:type="dxa" w:w="1661"/>
          </w:tcPr>
          <w:p>
            <w:pPr>
              <w:pStyle w:val="null3"/>
            </w:pPr>
            <w:r>
              <w:rPr>
                <w:rFonts w:ascii="仿宋_GB2312" w:hAnsi="仿宋_GB2312" w:cs="仿宋_GB2312" w:eastAsia="仿宋_GB2312"/>
              </w:rPr>
              <w:t>合同条款偏离表 商务应答表 投标文件封面 报价表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1、代建管理目标范围全面、内容完整。结合采购人实际情况，突出体现工程特点，得3-5分；代建管理目标范围不够全面、内容欠完整。未能结合采购人实际情况，突出体现工程特点，得1-2分；没有不得分。 2.项目质量管理严格按照强制性规范、具有保证质量的行之有效的措施，得3-5分；项目质量管理严格按照强制性规范、保证质量措施不够完善，得1-2分；没有不得分。 3.安全、环保及职业健康管理，严格按照工程特点，制定相应措施，得3-5分；安全、环保及职业健康管理，未能按照工程特点制定相应措施，得1-2分；没有不得分。 4、进度管理，视本项目的具体特点制定行之有效的工期管理、缩短工期等合理化建议，得3-5分；进度管理，未能根据本项目的具体特点制定行之有效的工期管理、缩短工期等合理化建议，得1-2分；没有不得分。 5、代建前期管理工作，程序管理合理、措施有效，得3-5分；代建前期管理工作，程序管理欠合理、措施不足，得1-2分；没有不得分。 6、投资与成本控制，针对各阶段具有切实可靠的成本控制措施、成本控制方法，具有可操作性，得3-5分；投资与成本控制，未能针对各阶段具有切实可靠的成本控制措施、成本控制方法，或不具有可操作性的，得1-2分；没有不得分。 7、采购与合同管理方案明确、控制措施得力，得3-5分；采购与合同管理方案不够明确、控制措施不够完善，得1-2分；没有不得分。 8、有详细清晰的全过程风险管理计划及风险管理实施程序，得3-5分；全过程风险管理计划及风险管理实施程序不够详细清晰，得1-2分；没有不得分。 9、信息管理与沟通协调，有全面的信息管理措施、具有有效的沟通管理机制，保证项目沟通及信息传递顺畅有序，得3-5分；信息管理措施不够全面、沟通管理机制不够有效，保证项目沟通及信息传递欠顺畅，得1-2分；没有不得分。 10、验收配合及移交方案，竣工验收计划全面且程序完善，移交方案完备，得3-5分；验收配合及移交方案，竣工验收计划不够全面，程序不够完善，移交方案不够完备，得1-2分；没有不得分。</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代建管理团队岗位人员配备要求必须满足以下内容（12分）： （1）现场管理岗：配备3人，至少1人具备工程类相关专业工程师； （2）设计管理岗：配备2人，至少1人具备工程类相关专业工程师； （3）造价管理岗：配备2人，至少1人具备工程类相关造价专业； （4）招投标及合同管理岗：配备1人； （5）报建及档案管理岗位：配备1人。 满足上述条件者得满分12分，每少1人扣1分，不符合专业要求扣1分/个，扣完为止。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投标人近三年(2022年1月1日至今）的代建项目业绩，每提供一项得3分，满分18分，不提供不得分。 注：以加盖公章的业绩合同或中标通知书复印件或扫描件为准，时间以合同签订时间或中标通知书落款时间为准。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有效供应商最低报价作为基准价，各供应商的报价得分按下列公式计算：（基准价/投标报价）×20%×100分。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详见附件：合同条款偏离表</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详见附件：业绩的相关证明材料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详见附件：合同-上传.docx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