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A8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仿宋" w:hAnsi="仿宋" w:eastAsia="仿宋" w:cs="仿宋"/>
          <w:b/>
          <w:bCs/>
          <w:i w:val="0"/>
          <w:iCs w:val="0"/>
          <w:caps w:val="0"/>
          <w:color w:val="auto"/>
          <w:spacing w:val="0"/>
          <w:sz w:val="32"/>
          <w:szCs w:val="32"/>
          <w:highlight w:val="none"/>
        </w:rPr>
      </w:pPr>
      <w:r>
        <w:rPr>
          <w:rFonts w:hint="eastAsia" w:ascii="仿宋" w:hAnsi="仿宋" w:eastAsia="仿宋" w:cs="仿宋"/>
          <w:b/>
          <w:bCs/>
          <w:i w:val="0"/>
          <w:iCs w:val="0"/>
          <w:caps w:val="0"/>
          <w:color w:val="auto"/>
          <w:spacing w:val="0"/>
          <w:sz w:val="32"/>
          <w:szCs w:val="32"/>
          <w:highlight w:val="none"/>
          <w:shd w:val="clear" w:fill="FFFFFF"/>
        </w:rPr>
        <w:t>第八章 拟签订采购合同文本</w:t>
      </w:r>
    </w:p>
    <w:p w14:paraId="616DDDA0">
      <w:pPr>
        <w:pStyle w:val="3"/>
        <w:rPr>
          <w:color w:val="auto"/>
          <w:highlight w:val="none"/>
          <w:lang w:eastAsia="zh-CN"/>
        </w:rPr>
      </w:pPr>
    </w:p>
    <w:p w14:paraId="5CF67637">
      <w:pPr>
        <w:spacing w:line="360" w:lineRule="auto"/>
        <w:ind w:firstLine="803" w:firstLineChars="200"/>
        <w:jc w:val="center"/>
        <w:rPr>
          <w:rFonts w:hint="eastAsia" w:ascii="仿宋" w:hAnsi="仿宋" w:eastAsia="仿宋" w:cs="仿宋"/>
          <w:b/>
          <w:bCs/>
          <w:color w:val="auto"/>
          <w:sz w:val="40"/>
          <w:szCs w:val="40"/>
          <w:highlight w:val="none"/>
          <w:lang w:eastAsia="zh-CN"/>
        </w:rPr>
      </w:pPr>
    </w:p>
    <w:p w14:paraId="0E24E7D6">
      <w:pPr>
        <w:spacing w:line="360" w:lineRule="auto"/>
        <w:ind w:firstLine="803" w:firstLineChars="200"/>
        <w:jc w:val="center"/>
        <w:rPr>
          <w:rFonts w:hint="eastAsia" w:ascii="仿宋" w:hAnsi="仿宋" w:eastAsia="仿宋" w:cs="仿宋"/>
          <w:b/>
          <w:bCs/>
          <w:color w:val="auto"/>
          <w:sz w:val="40"/>
          <w:szCs w:val="40"/>
          <w:highlight w:val="none"/>
          <w:lang w:eastAsia="zh-CN"/>
        </w:rPr>
      </w:pPr>
    </w:p>
    <w:p w14:paraId="5103847F">
      <w:pPr>
        <w:pStyle w:val="6"/>
        <w:ind w:left="0" w:leftChars="0" w:firstLine="321" w:firstLineChars="100"/>
        <w:jc w:val="center"/>
        <w:rPr>
          <w:rFonts w:hint="default" w:ascii="仿宋" w:hAnsi="仿宋" w:eastAsia="仿宋" w:cs="仿宋"/>
          <w:b/>
          <w:color w:val="auto"/>
          <w:kern w:val="0"/>
          <w:sz w:val="32"/>
          <w:szCs w:val="32"/>
          <w:lang w:val="en-US" w:eastAsia="zh-CN" w:bidi="ar-SA"/>
        </w:rPr>
      </w:pPr>
      <w:r>
        <w:rPr>
          <w:rFonts w:hint="eastAsia" w:ascii="仿宋" w:hAnsi="仿宋" w:eastAsia="仿宋" w:cs="仿宋"/>
          <w:b/>
          <w:color w:val="auto"/>
          <w:kern w:val="0"/>
          <w:sz w:val="32"/>
          <w:szCs w:val="32"/>
          <w:lang w:val="en-US" w:eastAsia="zh-CN" w:bidi="ar-SA"/>
        </w:rPr>
        <w:t>2025年特殊监管区支撑机构网络专线服务项目</w:t>
      </w:r>
    </w:p>
    <w:p w14:paraId="18AF4EBA">
      <w:pPr>
        <w:jc w:val="center"/>
        <w:rPr>
          <w:rFonts w:ascii="仿宋" w:hAnsi="仿宋" w:eastAsia="仿宋" w:cs="仿宋"/>
          <w:b/>
          <w:color w:val="auto"/>
          <w:kern w:val="0"/>
          <w:szCs w:val="21"/>
        </w:rPr>
      </w:pPr>
    </w:p>
    <w:p w14:paraId="27298E23">
      <w:pPr>
        <w:spacing w:line="540" w:lineRule="exact"/>
        <w:jc w:val="center"/>
        <w:rPr>
          <w:rFonts w:hint="eastAsia" w:ascii="仿宋" w:hAnsi="仿宋" w:eastAsia="仿宋" w:cs="仿宋"/>
          <w:b/>
          <w:color w:val="auto"/>
          <w:kern w:val="0"/>
          <w:sz w:val="52"/>
          <w:szCs w:val="52"/>
        </w:rPr>
      </w:pPr>
    </w:p>
    <w:p w14:paraId="544A8B1F">
      <w:pPr>
        <w:spacing w:line="540" w:lineRule="exact"/>
        <w:jc w:val="center"/>
        <w:rPr>
          <w:rFonts w:hint="eastAsia" w:ascii="仿宋" w:hAnsi="仿宋" w:eastAsia="仿宋" w:cs="仿宋"/>
          <w:b/>
          <w:color w:val="auto"/>
          <w:kern w:val="0"/>
          <w:sz w:val="52"/>
          <w:szCs w:val="52"/>
        </w:rPr>
      </w:pPr>
    </w:p>
    <w:p w14:paraId="5DAE3401">
      <w:pPr>
        <w:spacing w:line="540" w:lineRule="exact"/>
        <w:jc w:val="center"/>
        <w:rPr>
          <w:rFonts w:hint="eastAsia" w:ascii="仿宋" w:hAnsi="仿宋" w:eastAsia="仿宋" w:cs="仿宋"/>
          <w:b/>
          <w:color w:val="auto"/>
          <w:kern w:val="0"/>
          <w:sz w:val="52"/>
          <w:szCs w:val="52"/>
        </w:rPr>
      </w:pPr>
    </w:p>
    <w:p w14:paraId="4C309250">
      <w:pPr>
        <w:spacing w:line="540" w:lineRule="exact"/>
        <w:jc w:val="center"/>
        <w:rPr>
          <w:rFonts w:ascii="仿宋" w:hAnsi="仿宋" w:eastAsia="仿宋" w:cs="仿宋"/>
          <w:b/>
          <w:color w:val="auto"/>
          <w:kern w:val="0"/>
          <w:sz w:val="52"/>
          <w:szCs w:val="52"/>
        </w:rPr>
      </w:pPr>
      <w:r>
        <w:rPr>
          <w:rFonts w:hint="eastAsia" w:ascii="仿宋" w:hAnsi="仿宋" w:eastAsia="仿宋" w:cs="仿宋"/>
          <w:b/>
          <w:color w:val="auto"/>
          <w:kern w:val="0"/>
          <w:sz w:val="52"/>
          <w:szCs w:val="52"/>
        </w:rPr>
        <w:t>合同主要条款</w:t>
      </w:r>
    </w:p>
    <w:p w14:paraId="1D27347F">
      <w:pPr>
        <w:spacing w:line="540" w:lineRule="exact"/>
        <w:jc w:val="center"/>
        <w:rPr>
          <w:rFonts w:ascii="仿宋" w:hAnsi="仿宋" w:eastAsia="仿宋" w:cs="仿宋"/>
          <w:b/>
          <w:color w:val="auto"/>
          <w:kern w:val="0"/>
          <w:sz w:val="52"/>
          <w:szCs w:val="52"/>
        </w:rPr>
      </w:pPr>
      <w:r>
        <w:rPr>
          <w:rFonts w:hint="eastAsia" w:ascii="仿宋" w:hAnsi="仿宋" w:eastAsia="仿宋" w:cs="仿宋"/>
          <w:b/>
          <w:color w:val="auto"/>
          <w:kern w:val="0"/>
          <w:szCs w:val="21"/>
        </w:rPr>
        <w:t>（本格式条款供双方签订合同参考，采购人可根据项目的实际情况增加条款和内容）</w:t>
      </w:r>
    </w:p>
    <w:p w14:paraId="47B09DF2">
      <w:pPr>
        <w:spacing w:line="560" w:lineRule="exact"/>
        <w:jc w:val="center"/>
        <w:rPr>
          <w:rFonts w:ascii="仿宋" w:hAnsi="仿宋" w:eastAsia="仿宋" w:cs="仿宋"/>
          <w:b/>
          <w:color w:val="auto"/>
          <w:kern w:val="0"/>
          <w:sz w:val="36"/>
          <w:szCs w:val="36"/>
        </w:rPr>
      </w:pPr>
    </w:p>
    <w:p w14:paraId="5B84B623">
      <w:pPr>
        <w:spacing w:line="560" w:lineRule="exact"/>
        <w:jc w:val="center"/>
        <w:rPr>
          <w:rFonts w:ascii="仿宋" w:hAnsi="仿宋" w:eastAsia="仿宋" w:cs="仿宋"/>
          <w:b/>
          <w:color w:val="auto"/>
          <w:kern w:val="0"/>
          <w:sz w:val="36"/>
          <w:szCs w:val="36"/>
        </w:rPr>
      </w:pPr>
      <w:r>
        <w:rPr>
          <w:rFonts w:hint="eastAsia" w:ascii="仿宋" w:hAnsi="仿宋" w:eastAsia="仿宋" w:cs="仿宋"/>
          <w:b/>
          <w:color w:val="auto"/>
          <w:kern w:val="0"/>
          <w:sz w:val="36"/>
          <w:szCs w:val="36"/>
        </w:rPr>
        <w:t>合同编号：XXXX</w:t>
      </w:r>
    </w:p>
    <w:p w14:paraId="7E6DA501">
      <w:pPr>
        <w:spacing w:line="560" w:lineRule="exact"/>
        <w:rPr>
          <w:rFonts w:ascii="仿宋" w:hAnsi="仿宋" w:eastAsia="仿宋" w:cs="仿宋"/>
          <w:b/>
          <w:color w:val="auto"/>
        </w:rPr>
      </w:pPr>
    </w:p>
    <w:p w14:paraId="5F992178">
      <w:pPr>
        <w:pStyle w:val="3"/>
        <w:rPr>
          <w:rFonts w:ascii="仿宋" w:hAnsi="仿宋" w:eastAsia="仿宋" w:cs="仿宋"/>
          <w:b/>
          <w:color w:val="auto"/>
          <w:sz w:val="48"/>
          <w:szCs w:val="48"/>
          <w:lang w:eastAsia="zh-CN"/>
        </w:rPr>
      </w:pPr>
    </w:p>
    <w:p w14:paraId="6A685A50">
      <w:pPr>
        <w:rPr>
          <w:rFonts w:ascii="仿宋" w:hAnsi="仿宋" w:eastAsia="仿宋" w:cs="仿宋"/>
          <w:b/>
          <w:color w:val="auto"/>
          <w:sz w:val="48"/>
          <w:szCs w:val="48"/>
        </w:rPr>
      </w:pPr>
    </w:p>
    <w:p w14:paraId="28B495E8">
      <w:pPr>
        <w:rPr>
          <w:color w:val="auto"/>
        </w:rPr>
      </w:pPr>
    </w:p>
    <w:p w14:paraId="591457EA">
      <w:pPr>
        <w:rPr>
          <w:rFonts w:ascii="仿宋" w:hAnsi="仿宋" w:eastAsia="仿宋" w:cs="仿宋"/>
          <w:color w:val="auto"/>
        </w:rPr>
      </w:pPr>
    </w:p>
    <w:p w14:paraId="0A721C09">
      <w:pPr>
        <w:spacing w:line="560" w:lineRule="exact"/>
        <w:ind w:left="1469" w:hanging="1469" w:hangingChars="400"/>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 xml:space="preserve">          </w:t>
      </w:r>
    </w:p>
    <w:p w14:paraId="1536DE8C">
      <w:pPr>
        <w:spacing w:line="560" w:lineRule="exact"/>
        <w:ind w:firstLine="2204" w:firstLineChars="600"/>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color w:val="auto"/>
        </w:rPr>
        <w:fldChar w:fldCharType="begin"/>
      </w:r>
      <w:r>
        <w:rPr>
          <w:color w:val="auto"/>
        </w:rPr>
        <w:instrText xml:space="preserve"> HYPERLINK "http://set2.mail.qq.com/cgi-bin/mail_spam?action=check_link&amp;spam=0&amp;url=http://www.baidu.com/s?wd=%E9%87%87%E8%B4%AD%E5%8D%95&amp;hl_tag=textlink&amp;tn=SE_hldp01350_v6v6zkg6" </w:instrText>
      </w:r>
      <w:r>
        <w:rPr>
          <w:color w:val="auto"/>
        </w:rPr>
        <w:fldChar w:fldCharType="separate"/>
      </w:r>
      <w:r>
        <w:rPr>
          <w:rStyle w:val="10"/>
          <w:rFonts w:hint="default" w:ascii="仿宋" w:hAnsi="仿宋" w:eastAsia="仿宋" w:cs="仿宋"/>
          <w:b/>
          <w:color w:val="auto"/>
          <w:spacing w:val="23"/>
          <w:sz w:val="32"/>
          <w:szCs w:val="32"/>
        </w:rPr>
        <w:t>采购人</w:t>
      </w:r>
      <w:r>
        <w:rPr>
          <w:rStyle w:val="10"/>
          <w:rFonts w:hint="default"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w:t>
      </w:r>
      <w:r>
        <w:rPr>
          <w:rFonts w:hint="eastAsia" w:ascii="仿宋" w:hAnsi="仿宋" w:eastAsia="仿宋" w:cs="仿宋"/>
          <w:b/>
          <w:color w:val="auto"/>
          <w:spacing w:val="23"/>
          <w:sz w:val="32"/>
          <w:szCs w:val="32"/>
          <w:u w:val="single"/>
        </w:rPr>
        <w:t xml:space="preserve">          </w:t>
      </w:r>
    </w:p>
    <w:p w14:paraId="501E0022">
      <w:pPr>
        <w:spacing w:line="560" w:lineRule="exact"/>
        <w:ind w:left="1469" w:hanging="1469" w:hangingChars="400"/>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 xml:space="preserve">          </w:t>
      </w:r>
      <w:r>
        <w:rPr>
          <w:rFonts w:hint="eastAsia" w:ascii="仿宋" w:hAnsi="仿宋" w:eastAsia="仿宋" w:cs="仿宋"/>
          <w:b/>
          <w:color w:val="auto"/>
          <w:spacing w:val="23"/>
          <w:sz w:val="32"/>
          <w:szCs w:val="32"/>
          <w:lang w:val="en-US" w:eastAsia="zh-CN"/>
        </w:rPr>
        <w:t xml:space="preserve">  </w:t>
      </w:r>
      <w:r>
        <w:rPr>
          <w:color w:val="auto"/>
        </w:rPr>
        <w:fldChar w:fldCharType="begin"/>
      </w:r>
      <w:r>
        <w:rPr>
          <w:color w:val="auto"/>
        </w:rPr>
        <w:instrText xml:space="preserve"> HYPERLINK "http://set2.mail.qq.com/cgi-bin/mail_spam?action=check_link&amp;spam=0&amp;url=http://www.baidu.com/s?wd=%E4%B9%99%E6%96%B9&amp;hl_tag=textlink&amp;tn=SE_hldp01350_v6v6zkg6" </w:instrText>
      </w:r>
      <w:r>
        <w:rPr>
          <w:color w:val="auto"/>
        </w:rPr>
        <w:fldChar w:fldCharType="separate"/>
      </w:r>
      <w:r>
        <w:rPr>
          <w:rStyle w:val="10"/>
          <w:rFonts w:hint="default" w:ascii="仿宋" w:hAnsi="仿宋" w:eastAsia="仿宋" w:cs="仿宋"/>
          <w:b/>
          <w:color w:val="auto"/>
          <w:spacing w:val="23"/>
          <w:sz w:val="32"/>
          <w:szCs w:val="32"/>
        </w:rPr>
        <w:t>乙方</w:t>
      </w:r>
      <w:r>
        <w:rPr>
          <w:rStyle w:val="10"/>
          <w:rFonts w:hint="default"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b/>
          <w:color w:val="auto"/>
          <w:spacing w:val="23"/>
          <w:sz w:val="32"/>
          <w:szCs w:val="32"/>
          <w:u w:val="single"/>
        </w:rPr>
        <w:t xml:space="preserve">          </w:t>
      </w:r>
    </w:p>
    <w:p w14:paraId="3B7675F4">
      <w:pPr>
        <w:pStyle w:val="7"/>
        <w:widowControl/>
        <w:adjustRightInd w:val="0"/>
        <w:spacing w:line="560" w:lineRule="exact"/>
        <w:rPr>
          <w:rFonts w:ascii="仿宋" w:hAnsi="仿宋" w:eastAsia="仿宋" w:cs="仿宋"/>
          <w:b/>
          <w:color w:val="auto"/>
          <w:spacing w:val="23"/>
          <w:sz w:val="32"/>
          <w:szCs w:val="32"/>
        </w:rPr>
      </w:pPr>
      <w:r>
        <w:rPr>
          <w:rFonts w:hint="eastAsia" w:ascii="仿宋" w:hAnsi="仿宋" w:eastAsia="仿宋" w:cs="仿宋"/>
          <w:b/>
          <w:color w:val="auto"/>
          <w:spacing w:val="23"/>
          <w:sz w:val="32"/>
          <w:szCs w:val="32"/>
        </w:rPr>
        <w:t xml:space="preserve">          </w:t>
      </w:r>
      <w:r>
        <w:rPr>
          <w:rFonts w:hint="eastAsia" w:ascii="仿宋" w:hAnsi="仿宋" w:eastAsia="仿宋" w:cs="仿宋"/>
          <w:b/>
          <w:color w:val="auto"/>
          <w:spacing w:val="23"/>
          <w:sz w:val="32"/>
          <w:szCs w:val="32"/>
          <w:lang w:val="en-US" w:eastAsia="zh-CN"/>
        </w:rPr>
        <w:t xml:space="preserve">  </w:t>
      </w:r>
      <w:r>
        <w:rPr>
          <w:rFonts w:hint="eastAsia" w:ascii="仿宋" w:hAnsi="仿宋" w:eastAsia="仿宋" w:cs="仿宋"/>
          <w:b/>
          <w:color w:val="auto"/>
          <w:spacing w:val="23"/>
          <w:sz w:val="32"/>
          <w:szCs w:val="32"/>
        </w:rPr>
        <w:t>签订时间：</w:t>
      </w:r>
      <w:r>
        <w:rPr>
          <w:rFonts w:hint="eastAsia" w:ascii="仿宋" w:hAnsi="仿宋" w:eastAsia="仿宋" w:cs="仿宋"/>
          <w:b/>
          <w:color w:val="auto"/>
          <w:spacing w:val="23"/>
          <w:sz w:val="32"/>
          <w:szCs w:val="32"/>
          <w:u w:val="single"/>
        </w:rPr>
        <w:t xml:space="preserve">     </w:t>
      </w:r>
      <w:r>
        <w:rPr>
          <w:rFonts w:hint="eastAsia" w:ascii="仿宋" w:hAnsi="仿宋" w:eastAsia="仿宋" w:cs="仿宋"/>
          <w:b/>
          <w:color w:val="auto"/>
          <w:spacing w:val="23"/>
          <w:sz w:val="32"/>
          <w:szCs w:val="32"/>
        </w:rPr>
        <w:t>年</w:t>
      </w:r>
      <w:r>
        <w:rPr>
          <w:rFonts w:hint="eastAsia" w:ascii="仿宋" w:hAnsi="仿宋" w:eastAsia="仿宋" w:cs="仿宋"/>
          <w:b/>
          <w:color w:val="auto"/>
          <w:spacing w:val="23"/>
          <w:sz w:val="32"/>
          <w:szCs w:val="32"/>
          <w:u w:val="single"/>
        </w:rPr>
        <w:t xml:space="preserve">  </w:t>
      </w:r>
      <w:r>
        <w:rPr>
          <w:rFonts w:hint="eastAsia" w:ascii="仿宋" w:hAnsi="仿宋" w:eastAsia="仿宋" w:cs="仿宋"/>
          <w:b/>
          <w:color w:val="auto"/>
          <w:spacing w:val="23"/>
          <w:sz w:val="32"/>
          <w:szCs w:val="32"/>
        </w:rPr>
        <w:t>月</w:t>
      </w:r>
      <w:r>
        <w:rPr>
          <w:rFonts w:hint="eastAsia" w:ascii="仿宋" w:hAnsi="仿宋" w:eastAsia="仿宋" w:cs="仿宋"/>
          <w:b/>
          <w:color w:val="auto"/>
          <w:spacing w:val="23"/>
          <w:sz w:val="32"/>
          <w:szCs w:val="32"/>
          <w:u w:val="single"/>
        </w:rPr>
        <w:t xml:space="preserve">   </w:t>
      </w:r>
      <w:r>
        <w:rPr>
          <w:rFonts w:hint="eastAsia" w:ascii="仿宋" w:hAnsi="仿宋" w:eastAsia="仿宋" w:cs="仿宋"/>
          <w:b/>
          <w:color w:val="auto"/>
          <w:spacing w:val="23"/>
          <w:sz w:val="32"/>
          <w:szCs w:val="32"/>
        </w:rPr>
        <w:t>日</w:t>
      </w:r>
    </w:p>
    <w:p w14:paraId="12129FE8">
      <w:pPr>
        <w:widowControl/>
        <w:tabs>
          <w:tab w:val="left" w:pos="1620"/>
        </w:tabs>
        <w:spacing w:line="500" w:lineRule="exact"/>
        <w:jc w:val="both"/>
        <w:rPr>
          <w:rFonts w:hint="eastAsia" w:ascii="仿宋" w:hAnsi="仿宋" w:eastAsia="仿宋" w:cs="仿宋"/>
          <w:b/>
          <w:color w:val="auto"/>
          <w:sz w:val="36"/>
          <w:szCs w:val="36"/>
          <w:lang w:bidi="ar"/>
        </w:rPr>
      </w:pPr>
    </w:p>
    <w:p w14:paraId="6277A78A">
      <w:pPr>
        <w:keepNext w:val="0"/>
        <w:keepLines w:val="0"/>
        <w:pageBreakBefore w:val="0"/>
        <w:widowControl/>
        <w:tabs>
          <w:tab w:val="left" w:pos="1620"/>
        </w:tabs>
        <w:kinsoku/>
        <w:wordWrap/>
        <w:overflowPunct/>
        <w:topLinePunct w:val="0"/>
        <w:autoSpaceDE/>
        <w:autoSpaceDN/>
        <w:bidi w:val="0"/>
        <w:adjustRightInd/>
        <w:snapToGrid/>
        <w:spacing w:beforeAutospacing="0" w:after="157" w:afterLines="50" w:line="560" w:lineRule="exact"/>
        <w:ind w:firstLine="640" w:firstLineChars="200"/>
        <w:jc w:val="center"/>
        <w:textAlignment w:val="auto"/>
        <w:rPr>
          <w:rFonts w:hint="eastAsia" w:ascii="仿宋" w:hAnsi="仿宋" w:eastAsia="仿宋" w:cs="仿宋"/>
          <w:b/>
          <w:color w:val="auto"/>
          <w:sz w:val="32"/>
          <w:szCs w:val="32"/>
          <w:lang w:bidi="ar"/>
        </w:rPr>
      </w:pPr>
      <w:r>
        <w:rPr>
          <w:rFonts w:hint="eastAsia" w:ascii="黑体" w:hAnsi="黑体" w:eastAsia="黑体" w:cs="黑体"/>
          <w:b w:val="0"/>
          <w:bCs/>
          <w:color w:val="auto"/>
          <w:sz w:val="32"/>
          <w:szCs w:val="32"/>
          <w:lang w:bidi="ar"/>
        </w:rPr>
        <w:t>合同主要条款</w:t>
      </w:r>
    </w:p>
    <w:p w14:paraId="305A9214">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甲方：</w:t>
      </w:r>
      <w:r>
        <w:rPr>
          <w:rFonts w:hint="eastAsia" w:ascii="仿宋" w:hAnsi="仿宋" w:eastAsia="仿宋" w:cs="仿宋"/>
          <w:color w:val="auto"/>
          <w:sz w:val="28"/>
          <w:szCs w:val="28"/>
          <w:u w:val="single"/>
        </w:rPr>
        <w:t>西安高新综合保税区</w:t>
      </w:r>
      <w:r>
        <w:rPr>
          <w:rFonts w:hint="eastAsia" w:ascii="仿宋" w:hAnsi="仿宋" w:eastAsia="仿宋" w:cs="仿宋"/>
          <w:color w:val="auto"/>
          <w:sz w:val="28"/>
          <w:szCs w:val="28"/>
          <w:u w:val="single"/>
          <w:lang w:val="en-US" w:eastAsia="zh-CN"/>
        </w:rPr>
        <w:t>发展中心</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none"/>
        </w:rPr>
        <w:t xml:space="preserve">       </w:t>
      </w:r>
    </w:p>
    <w:p w14:paraId="3978CD48">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default" w:ascii="仿宋" w:hAnsi="仿宋" w:eastAsia="仿宋" w:cs="仿宋"/>
          <w:color w:val="auto"/>
          <w:sz w:val="28"/>
          <w:szCs w:val="28"/>
          <w:u w:val="single"/>
          <w:lang w:val="en-US" w:eastAsia="zh-CN"/>
        </w:rPr>
      </w:pPr>
      <w:r>
        <w:rPr>
          <w:rFonts w:hint="eastAsia" w:ascii="仿宋" w:hAnsi="仿宋" w:eastAsia="仿宋" w:cs="仿宋"/>
          <w:color w:val="auto"/>
          <w:sz w:val="28"/>
          <w:szCs w:val="28"/>
          <w:u w:val="none"/>
          <w:lang w:val="en-US" w:eastAsia="zh-CN"/>
        </w:rPr>
        <w:t>乙方</w:t>
      </w:r>
      <w:r>
        <w:rPr>
          <w:rFonts w:hint="eastAsia" w:ascii="仿宋" w:hAnsi="仿宋" w:eastAsia="仿宋" w:cs="仿宋"/>
          <w:color w:val="auto"/>
          <w:sz w:val="28"/>
          <w:szCs w:val="28"/>
          <w:u w:val="none"/>
        </w:rPr>
        <w:t>：</w:t>
      </w:r>
      <w:r>
        <w:rPr>
          <w:rFonts w:hint="eastAsia" w:ascii="仿宋" w:hAnsi="仿宋" w:eastAsia="仿宋" w:cs="仿宋"/>
          <w:color w:val="auto"/>
          <w:sz w:val="28"/>
          <w:szCs w:val="28"/>
          <w:u w:val="single"/>
          <w:lang w:val="en-US" w:eastAsia="zh-CN"/>
        </w:rPr>
        <w:t xml:space="preserve">                           </w:t>
      </w:r>
    </w:p>
    <w:p w14:paraId="7BDD4635">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color w:val="auto"/>
        </w:rPr>
      </w:pPr>
      <w:r>
        <w:rPr>
          <w:rFonts w:hint="eastAsia" w:ascii="仿宋" w:hAnsi="仿宋" w:eastAsia="仿宋" w:cs="仿宋"/>
          <w:color w:val="auto"/>
          <w:sz w:val="28"/>
          <w:szCs w:val="28"/>
        </w:rPr>
        <w:t>甲乙双方根据2025年特殊监管区支撑机构网络专线服务项目政府采购结果</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相关</w:t>
      </w:r>
      <w:r>
        <w:rPr>
          <w:rFonts w:hint="eastAsia" w:ascii="仿宋" w:hAnsi="仿宋" w:eastAsia="仿宋" w:cs="仿宋"/>
          <w:color w:val="auto"/>
          <w:sz w:val="28"/>
          <w:szCs w:val="28"/>
          <w:lang w:val="en-US" w:eastAsia="zh-CN"/>
        </w:rPr>
        <w:t>磋商文件和磋商响应</w:t>
      </w:r>
      <w:r>
        <w:rPr>
          <w:rFonts w:hint="eastAsia" w:ascii="仿宋" w:hAnsi="仿宋" w:eastAsia="仿宋" w:cs="仿宋"/>
          <w:color w:val="auto"/>
          <w:sz w:val="28"/>
          <w:szCs w:val="28"/>
        </w:rPr>
        <w:t>文件</w:t>
      </w:r>
      <w:r>
        <w:rPr>
          <w:rFonts w:hint="eastAsia" w:ascii="仿宋" w:hAnsi="仿宋" w:eastAsia="仿宋" w:cs="仿宋"/>
          <w:color w:val="auto"/>
          <w:sz w:val="28"/>
          <w:szCs w:val="28"/>
          <w:lang w:val="en-US" w:eastAsia="zh-CN"/>
        </w:rPr>
        <w:t>内容</w:t>
      </w:r>
      <w:r>
        <w:rPr>
          <w:rFonts w:hint="eastAsia" w:ascii="仿宋" w:hAnsi="仿宋" w:eastAsia="仿宋" w:cs="仿宋"/>
          <w:color w:val="auto"/>
          <w:sz w:val="28"/>
          <w:szCs w:val="28"/>
        </w:rPr>
        <w:t>，经双方友好协商</w:t>
      </w:r>
      <w:r>
        <w:rPr>
          <w:rFonts w:hint="eastAsia" w:ascii="仿宋" w:hAnsi="仿宋" w:eastAsia="仿宋" w:cs="仿宋"/>
          <w:color w:val="auto"/>
          <w:sz w:val="28"/>
          <w:szCs w:val="28"/>
          <w:lang w:val="en-US" w:eastAsia="zh-CN"/>
        </w:rPr>
        <w:t>在</w:t>
      </w:r>
      <w:r>
        <w:rPr>
          <w:rFonts w:hint="eastAsia" w:ascii="仿宋" w:hAnsi="仿宋" w:eastAsia="仿宋" w:cs="仿宋"/>
          <w:color w:val="auto"/>
          <w:sz w:val="28"/>
          <w:szCs w:val="28"/>
        </w:rPr>
        <w:t>平等、诚信、协作的原则</w:t>
      </w:r>
      <w:r>
        <w:rPr>
          <w:rFonts w:hint="eastAsia" w:ascii="仿宋" w:hAnsi="仿宋" w:eastAsia="仿宋" w:cs="仿宋"/>
          <w:color w:val="auto"/>
          <w:sz w:val="28"/>
          <w:szCs w:val="28"/>
          <w:lang w:val="en-US" w:eastAsia="zh-CN"/>
        </w:rPr>
        <w:t>下</w:t>
      </w:r>
      <w:r>
        <w:rPr>
          <w:rFonts w:hint="eastAsia" w:ascii="仿宋" w:hAnsi="仿宋" w:eastAsia="仿宋" w:cs="仿宋"/>
          <w:color w:val="auto"/>
          <w:sz w:val="28"/>
          <w:szCs w:val="28"/>
        </w:rPr>
        <w:t>，按照《中华人民共和国民法典》和《中华人民共和国政府采购法》，</w:t>
      </w:r>
      <w:r>
        <w:rPr>
          <w:rFonts w:hint="eastAsia" w:ascii="仿宋" w:hAnsi="仿宋" w:eastAsia="仿宋" w:cs="仿宋"/>
          <w:color w:val="auto"/>
          <w:sz w:val="28"/>
          <w:szCs w:val="28"/>
          <w:lang w:val="en-US" w:eastAsia="zh-CN"/>
        </w:rPr>
        <w:t>签订</w:t>
      </w:r>
      <w:r>
        <w:rPr>
          <w:rFonts w:hint="eastAsia" w:ascii="仿宋" w:hAnsi="仿宋" w:eastAsia="仿宋" w:cs="仿宋"/>
          <w:color w:val="auto"/>
          <w:sz w:val="28"/>
          <w:szCs w:val="28"/>
        </w:rPr>
        <w:t>本合同，供双方共同遵守</w:t>
      </w:r>
      <w:r>
        <w:rPr>
          <w:rFonts w:hint="eastAsia" w:ascii="仿宋" w:hAnsi="仿宋" w:eastAsia="仿宋" w:cs="仿宋"/>
          <w:color w:val="auto"/>
          <w:sz w:val="28"/>
          <w:szCs w:val="28"/>
          <w:lang w:eastAsia="zh-CN"/>
        </w:rPr>
        <w:t>。</w:t>
      </w:r>
    </w:p>
    <w:p w14:paraId="346123C3">
      <w:pPr>
        <w:keepNext w:val="0"/>
        <w:keepLines w:val="0"/>
        <w:pageBreakBefore w:val="0"/>
        <w:widowControl/>
        <w:numPr>
          <w:ilvl w:val="0"/>
          <w:numId w:val="0"/>
        </w:numPr>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一、项目概况</w:t>
      </w:r>
    </w:p>
    <w:p w14:paraId="3304A65E">
      <w:pPr>
        <w:keepNext w:val="0"/>
        <w:keepLines w:val="0"/>
        <w:pageBreakBefore w:val="0"/>
        <w:widowControl/>
        <w:numPr>
          <w:ilvl w:val="0"/>
          <w:numId w:val="0"/>
        </w:numPr>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1.项目性质：</w:t>
      </w:r>
      <w:r>
        <w:rPr>
          <w:rFonts w:hint="eastAsia" w:ascii="仿宋" w:hAnsi="仿宋" w:eastAsia="仿宋" w:cs="仿宋"/>
          <w:color w:val="auto"/>
          <w:sz w:val="28"/>
          <w:szCs w:val="28"/>
          <w:highlight w:val="none"/>
        </w:rPr>
        <w:t>政府采购项目</w:t>
      </w:r>
    </w:p>
    <w:p w14:paraId="0F8ADAFE">
      <w:pPr>
        <w:keepNext w:val="0"/>
        <w:keepLines w:val="0"/>
        <w:pageBreakBefore w:val="0"/>
        <w:widowControl/>
        <w:numPr>
          <w:ilvl w:val="0"/>
          <w:numId w:val="0"/>
        </w:numPr>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项目名称：</w:t>
      </w:r>
      <w:r>
        <w:rPr>
          <w:rFonts w:hint="eastAsia" w:ascii="仿宋" w:hAnsi="仿宋" w:eastAsia="仿宋" w:cs="仿宋"/>
          <w:color w:val="auto"/>
          <w:sz w:val="28"/>
          <w:szCs w:val="28"/>
          <w:lang w:val="en-US" w:eastAsia="zh-CN"/>
        </w:rPr>
        <w:t>2025年特殊监管区支撑机构网络专线服务项目</w:t>
      </w:r>
    </w:p>
    <w:p w14:paraId="5D92922E">
      <w:pPr>
        <w:keepNext w:val="0"/>
        <w:keepLines w:val="0"/>
        <w:pageBreakBefore w:val="0"/>
        <w:widowControl/>
        <w:numPr>
          <w:ilvl w:val="0"/>
          <w:numId w:val="0"/>
        </w:numPr>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服务</w:t>
      </w:r>
      <w:r>
        <w:rPr>
          <w:rFonts w:hint="eastAsia" w:ascii="仿宋" w:hAnsi="仿宋" w:eastAsia="仿宋" w:cs="仿宋"/>
          <w:color w:val="auto"/>
          <w:sz w:val="28"/>
          <w:szCs w:val="28"/>
          <w:lang w:val="en-US" w:eastAsia="zh-CN"/>
        </w:rPr>
        <w:t>内容</w:t>
      </w:r>
      <w:r>
        <w:rPr>
          <w:rFonts w:hint="eastAsia" w:ascii="仿宋" w:hAnsi="仿宋" w:eastAsia="仿宋" w:cs="仿宋"/>
          <w:color w:val="auto"/>
          <w:sz w:val="28"/>
          <w:szCs w:val="28"/>
        </w:rPr>
        <w:t>：乙方按甲方采购需求及合同内各项条款、要求给甲方提供通信网络服务，按时、按质</w:t>
      </w:r>
      <w:r>
        <w:rPr>
          <w:rFonts w:hint="eastAsia" w:ascii="仿宋" w:hAnsi="仿宋" w:eastAsia="仿宋" w:cs="仿宋"/>
          <w:color w:val="auto"/>
          <w:sz w:val="28"/>
          <w:szCs w:val="28"/>
          <w:lang w:val="en-US" w:eastAsia="zh-CN"/>
        </w:rPr>
        <w:t>接</w:t>
      </w:r>
      <w:r>
        <w:rPr>
          <w:rFonts w:hint="eastAsia" w:ascii="仿宋" w:hAnsi="仿宋" w:eastAsia="仿宋" w:cs="仿宋"/>
          <w:color w:val="auto"/>
          <w:sz w:val="28"/>
          <w:szCs w:val="28"/>
        </w:rPr>
        <w:t>通，定期不定期进行链路及光纤等网络运维，确保每条通信链路畅通，不能影响甲方正常的工作业务。</w:t>
      </w:r>
    </w:p>
    <w:p w14:paraId="34DC55C9">
      <w:pPr>
        <w:keepNext w:val="0"/>
        <w:keepLines w:val="0"/>
        <w:pageBreakBefore w:val="0"/>
        <w:widowControl/>
        <w:numPr>
          <w:ilvl w:val="0"/>
          <w:numId w:val="0"/>
        </w:numPr>
        <w:kinsoku/>
        <w:wordWrap/>
        <w:overflowPunct/>
        <w:topLinePunct w:val="0"/>
        <w:autoSpaceDE/>
        <w:autoSpaceDN/>
        <w:bidi w:val="0"/>
        <w:adjustRightInd/>
        <w:snapToGrid w:val="0"/>
        <w:spacing w:beforeAutospacing="0" w:line="560" w:lineRule="exact"/>
        <w:ind w:firstLine="562" w:firstLineChars="200"/>
        <w:jc w:val="left"/>
        <w:textAlignment w:val="auto"/>
        <w:rPr>
          <w:rFonts w:hint="default"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合同总金额</w:t>
      </w:r>
      <w:r>
        <w:rPr>
          <w:rFonts w:hint="eastAsia" w:ascii="仿宋" w:hAnsi="仿宋" w:eastAsia="仿宋" w:cs="仿宋"/>
          <w:b/>
          <w:bCs/>
          <w:color w:val="auto"/>
          <w:sz w:val="28"/>
          <w:szCs w:val="28"/>
          <w:lang w:val="en-US" w:eastAsia="zh-CN"/>
        </w:rPr>
        <w:t>及付款方式</w:t>
      </w:r>
    </w:p>
    <w:p w14:paraId="5C134796">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合同总金额（含税）</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人民币</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none"/>
          <w:lang w:val="en-US" w:eastAsia="zh-CN"/>
        </w:rPr>
        <w:t>元</w:t>
      </w:r>
      <w:r>
        <w:rPr>
          <w:rFonts w:hint="eastAsia" w:ascii="仿宋" w:hAnsi="仿宋" w:eastAsia="仿宋" w:cs="仿宋"/>
          <w:color w:val="auto"/>
          <w:sz w:val="28"/>
          <w:szCs w:val="28"/>
        </w:rPr>
        <w:t>（大写：</w:t>
      </w:r>
      <w:r>
        <w:rPr>
          <w:rFonts w:hint="eastAsia" w:ascii="仿宋" w:hAnsi="仿宋" w:eastAsia="仿宋" w:cs="仿宋"/>
          <w:color w:val="auto"/>
          <w:sz w:val="28"/>
          <w:szCs w:val="28"/>
          <w:u w:val="none"/>
          <w:lang w:val="en-US" w:eastAsia="zh-CN"/>
        </w:rPr>
        <w:t xml:space="preserve">    </w:t>
      </w:r>
      <w:r>
        <w:rPr>
          <w:rFonts w:hint="eastAsia" w:ascii="仿宋" w:hAnsi="仿宋" w:eastAsia="仿宋" w:cs="仿宋"/>
          <w:color w:val="auto"/>
          <w:sz w:val="28"/>
          <w:szCs w:val="28"/>
          <w:u w:val="none"/>
          <w:lang w:eastAsia="zh-CN"/>
        </w:rPr>
        <w:t>）。</w:t>
      </w:r>
      <w:r>
        <w:rPr>
          <w:rFonts w:hint="eastAsia" w:ascii="仿宋" w:hAnsi="仿宋" w:eastAsia="仿宋" w:cs="仿宋"/>
          <w:color w:val="auto"/>
          <w:kern w:val="2"/>
          <w:sz w:val="28"/>
          <w:szCs w:val="28"/>
          <w:lang w:val="en-US" w:eastAsia="zh-CN" w:bidi="ar-SA"/>
        </w:rPr>
        <w:t>合同总金额为完成本项目磋商文件中所提出工作范围及要求的全部内容，并达到国家及采购人验收标准而产生的所有费用，包括但不限于施工费用，材料费、设备费、人工费、税费、招标代理服务费等以及后续的调试、日常线路管理、维修维护等产生的全部费用，任何错报、漏报由供应商自行负责。</w:t>
      </w:r>
    </w:p>
    <w:p w14:paraId="24350BC5">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结算及付款方式：根据甲方实际使用的线路数量核算，每季度前5个工作日进行上季度的结算工作。经双方确认无误后，乙方开具有效的正式专用发票，甲方按季度支付乙方费用。年底最后一个季度结算如涉及到扎账等相关情况，由双方协商结算。</w:t>
      </w:r>
      <w:bookmarkStart w:id="0" w:name="_GoBack"/>
      <w:bookmarkEnd w:id="0"/>
    </w:p>
    <w:p w14:paraId="775562BA">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b w:val="0"/>
          <w:bCs/>
          <w:color w:val="auto"/>
          <w:kern w:val="0"/>
          <w:sz w:val="28"/>
          <w:szCs w:val="28"/>
          <w:highlight w:val="none"/>
          <w:lang w:val="en-US" w:eastAsia="zh-CN"/>
        </w:rPr>
      </w:pPr>
      <w:r>
        <w:rPr>
          <w:rFonts w:hint="eastAsia" w:ascii="仿宋" w:hAnsi="仿宋" w:eastAsia="仿宋" w:cs="仿宋"/>
          <w:b w:val="0"/>
          <w:bCs/>
          <w:color w:val="auto"/>
          <w:kern w:val="0"/>
          <w:sz w:val="28"/>
          <w:szCs w:val="28"/>
          <w:highlight w:val="none"/>
          <w:lang w:val="en-US" w:eastAsia="zh-CN"/>
        </w:rPr>
        <w:t>3.乙方账户信息</w:t>
      </w:r>
    </w:p>
    <w:p w14:paraId="645DA3E6">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b w:val="0"/>
          <w:bCs/>
          <w:color w:val="auto"/>
          <w:kern w:val="0"/>
          <w:sz w:val="28"/>
          <w:szCs w:val="28"/>
          <w:highlight w:val="none"/>
          <w:lang w:val="en-US" w:eastAsia="zh-CN"/>
        </w:rPr>
      </w:pPr>
      <w:r>
        <w:rPr>
          <w:rFonts w:hint="eastAsia" w:ascii="仿宋" w:hAnsi="仿宋" w:eastAsia="仿宋" w:cs="仿宋"/>
          <w:b w:val="0"/>
          <w:bCs/>
          <w:color w:val="auto"/>
          <w:kern w:val="0"/>
          <w:sz w:val="28"/>
          <w:szCs w:val="28"/>
          <w:highlight w:val="none"/>
          <w:lang w:val="en-US" w:eastAsia="zh-CN"/>
        </w:rPr>
        <w:t xml:space="preserve">名称： </w:t>
      </w:r>
    </w:p>
    <w:p w14:paraId="44C5FEDB">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b w:val="0"/>
          <w:bCs/>
          <w:color w:val="auto"/>
          <w:kern w:val="0"/>
          <w:sz w:val="28"/>
          <w:szCs w:val="28"/>
          <w:highlight w:val="none"/>
          <w:lang w:val="en-US" w:eastAsia="zh-CN"/>
        </w:rPr>
      </w:pPr>
      <w:r>
        <w:rPr>
          <w:rFonts w:hint="eastAsia" w:ascii="仿宋" w:hAnsi="仿宋" w:eastAsia="仿宋" w:cs="仿宋"/>
          <w:b w:val="0"/>
          <w:bCs/>
          <w:color w:val="auto"/>
          <w:kern w:val="0"/>
          <w:sz w:val="28"/>
          <w:szCs w:val="28"/>
          <w:highlight w:val="none"/>
          <w:lang w:val="en-US" w:eastAsia="zh-CN"/>
        </w:rPr>
        <w:t xml:space="preserve">账号： </w:t>
      </w:r>
    </w:p>
    <w:p w14:paraId="4B91FE9E">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color w:val="auto"/>
          <w:lang w:val="en-US" w:eastAsia="zh-CN"/>
        </w:rPr>
      </w:pPr>
      <w:r>
        <w:rPr>
          <w:rFonts w:hint="eastAsia" w:ascii="仿宋" w:hAnsi="仿宋" w:eastAsia="仿宋" w:cs="仿宋"/>
          <w:b w:val="0"/>
          <w:bCs/>
          <w:color w:val="auto"/>
          <w:kern w:val="0"/>
          <w:sz w:val="28"/>
          <w:szCs w:val="28"/>
          <w:highlight w:val="none"/>
          <w:lang w:val="en-US" w:eastAsia="zh-CN"/>
        </w:rPr>
        <w:t xml:space="preserve">开户行： </w:t>
      </w:r>
    </w:p>
    <w:p w14:paraId="55EEC9C9">
      <w:pPr>
        <w:keepNext w:val="0"/>
        <w:keepLines w:val="0"/>
        <w:pageBreakBefore w:val="0"/>
        <w:widowControl/>
        <w:numPr>
          <w:ilvl w:val="0"/>
          <w:numId w:val="0"/>
        </w:numPr>
        <w:kinsoku/>
        <w:wordWrap/>
        <w:overflowPunct/>
        <w:topLinePunct w:val="0"/>
        <w:autoSpaceDE/>
        <w:autoSpaceDN/>
        <w:bidi w:val="0"/>
        <w:adjustRightInd/>
        <w:snapToGrid w:val="0"/>
        <w:spacing w:beforeAutospacing="0" w:line="560" w:lineRule="exact"/>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采购内容</w:t>
      </w:r>
    </w:p>
    <w:p w14:paraId="4596660E">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1.服务期限：网络链路施工周期要求为15个日历日，服务期限自合同约定之日起一年。</w:t>
      </w:r>
    </w:p>
    <w:p w14:paraId="304A7BB7">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甲方在费用不变、合同内容不变，且乙方符合服务要求的前提下，甲方可与乙方续签2年合同（合同按年签订）。每年合同期满前30天，甲方将对乙方当期服务进行考核，考核合格的，双方可续签次年合同（季度或结算周期考核为年度考核的参照）。若出现以下情况，甲方在提前书面通知供应商后，合同到期自动终止，不再续签：</w:t>
      </w:r>
    </w:p>
    <w:p w14:paraId="4A987C30">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1）一年合同期满时，甲方未获得相应预算；</w:t>
      </w:r>
    </w:p>
    <w:p w14:paraId="20D1CECF">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2）采购需求取消；</w:t>
      </w:r>
    </w:p>
    <w:p w14:paraId="7DE5D3D8">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3）乙方考核不合格；</w:t>
      </w:r>
    </w:p>
    <w:p w14:paraId="3F2B24AE">
      <w:pPr>
        <w:pStyle w:val="11"/>
        <w:keepNext w:val="0"/>
        <w:keepLines w:val="0"/>
        <w:pageBreakBefore w:val="0"/>
        <w:widowControl/>
        <w:kinsoku/>
        <w:wordWrap/>
        <w:overflowPunct/>
        <w:topLinePunct w:val="0"/>
        <w:autoSpaceDE/>
        <w:autoSpaceDN/>
        <w:bidi w:val="0"/>
        <w:adjustRightInd/>
        <w:snapToGrid w:val="0"/>
        <w:spacing w:beforeAutospacing="0" w:line="560" w:lineRule="exact"/>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4）采购内容发生变化。</w:t>
      </w:r>
    </w:p>
    <w:p w14:paraId="7E9D4618">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b w:val="0"/>
          <w:bCs w:val="0"/>
          <w:color w:val="auto"/>
          <w:sz w:val="28"/>
          <w:szCs w:val="28"/>
          <w:highlight w:val="none"/>
          <w:lang w:eastAsia="zh-Hans"/>
        </w:rPr>
      </w:pPr>
      <w:r>
        <w:rPr>
          <w:rFonts w:hint="eastAsia" w:ascii="仿宋" w:hAnsi="仿宋" w:eastAsia="仿宋" w:cs="仿宋"/>
          <w:color w:val="auto"/>
          <w:sz w:val="28"/>
          <w:szCs w:val="28"/>
          <w:lang w:val="en-US" w:eastAsia="zh-CN"/>
        </w:rPr>
        <w:t>2.</w:t>
      </w:r>
      <w:r>
        <w:rPr>
          <w:rFonts w:hint="eastAsia" w:ascii="仿宋" w:hAnsi="仿宋" w:eastAsia="仿宋" w:cs="仿宋"/>
          <w:color w:val="auto"/>
          <w:kern w:val="0"/>
          <w:sz w:val="28"/>
          <w:szCs w:val="28"/>
          <w:highlight w:val="none"/>
          <w:lang w:val="en-US" w:eastAsia="zh-CN"/>
        </w:rPr>
        <w:t>网络链路服务要求详见合同附件1：《</w:t>
      </w:r>
      <w:r>
        <w:rPr>
          <w:rFonts w:hint="eastAsia" w:ascii="仿宋" w:hAnsi="仿宋" w:eastAsia="仿宋" w:cs="仿宋"/>
          <w:color w:val="auto"/>
          <w:sz w:val="28"/>
          <w:szCs w:val="28"/>
          <w:lang w:val="en-US" w:eastAsia="zh-CN"/>
        </w:rPr>
        <w:t>特殊监管区支撑机构网络专线服务项目</w:t>
      </w:r>
      <w:r>
        <w:rPr>
          <w:rFonts w:hint="eastAsia" w:ascii="仿宋" w:hAnsi="仿宋" w:eastAsia="仿宋" w:cs="仿宋"/>
          <w:color w:val="auto"/>
          <w:sz w:val="28"/>
          <w:szCs w:val="28"/>
          <w:highlight w:val="none"/>
          <w:lang w:val="en-US" w:eastAsia="zh-CN"/>
        </w:rPr>
        <w:t>要求及费用清单》</w:t>
      </w:r>
    </w:p>
    <w:p w14:paraId="4BA1ACDD">
      <w:pPr>
        <w:keepNext w:val="0"/>
        <w:keepLines w:val="0"/>
        <w:pageBreakBefore w:val="0"/>
        <w:numPr>
          <w:ilvl w:val="0"/>
          <w:numId w:val="0"/>
        </w:numPr>
        <w:kinsoku/>
        <w:wordWrap/>
        <w:overflowPunct/>
        <w:topLinePunct w:val="0"/>
        <w:autoSpaceDE/>
        <w:autoSpaceDN/>
        <w:bidi w:val="0"/>
        <w:adjustRightInd/>
        <w:snapToGrid w:val="0"/>
        <w:spacing w:beforeAutospacing="0" w:line="560" w:lineRule="exact"/>
        <w:ind w:firstLine="560" w:firstLineChars="200"/>
        <w:jc w:val="both"/>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en-US" w:eastAsia="zh-Hans"/>
        </w:rPr>
        <w:t>验收</w:t>
      </w:r>
      <w:r>
        <w:rPr>
          <w:rFonts w:hint="eastAsia" w:ascii="仿宋" w:hAnsi="仿宋" w:eastAsia="仿宋" w:cs="仿宋"/>
          <w:color w:val="auto"/>
          <w:sz w:val="28"/>
          <w:szCs w:val="28"/>
          <w:lang w:val="en-US" w:eastAsia="zh-CN"/>
        </w:rPr>
        <w:t>及依据</w:t>
      </w:r>
    </w:p>
    <w:p w14:paraId="48D4F7E3">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 xml:space="preserve">（1） </w:t>
      </w:r>
      <w:r>
        <w:rPr>
          <w:rFonts w:hint="eastAsia" w:ascii="仿宋" w:hAnsi="仿宋" w:eastAsia="仿宋" w:cs="仿宋"/>
          <w:color w:val="auto"/>
          <w:sz w:val="28"/>
          <w:szCs w:val="28"/>
          <w:lang w:val="en-US" w:eastAsia="zh-Hans"/>
        </w:rPr>
        <w:t>按国家现行项目实施规范和合同规定的验收评定标准等要求进行验收。</w:t>
      </w:r>
    </w:p>
    <w:p w14:paraId="5BBC0D4F">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（2）依据</w:t>
      </w:r>
      <w:r>
        <w:rPr>
          <w:rFonts w:hint="eastAsia" w:ascii="仿宋" w:hAnsi="仿宋" w:eastAsia="仿宋" w:cs="仿宋"/>
          <w:color w:val="auto"/>
          <w:sz w:val="28"/>
          <w:szCs w:val="28"/>
          <w:lang w:val="en-US" w:eastAsia="zh-Hans"/>
        </w:rPr>
        <w:t>本项目竞争性磋商文件、磋商响应文件</w:t>
      </w:r>
      <w:r>
        <w:rPr>
          <w:rFonts w:hint="eastAsia" w:ascii="仿宋" w:hAnsi="仿宋" w:eastAsia="仿宋" w:cs="仿宋"/>
          <w:color w:val="auto"/>
          <w:sz w:val="28"/>
          <w:szCs w:val="28"/>
          <w:lang w:val="en-US" w:eastAsia="zh-CN"/>
        </w:rPr>
        <w:t>。</w:t>
      </w:r>
    </w:p>
    <w:p w14:paraId="6FA9F6E9">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（3）依据</w:t>
      </w:r>
      <w:r>
        <w:rPr>
          <w:rFonts w:hint="eastAsia" w:ascii="仿宋" w:hAnsi="仿宋" w:eastAsia="仿宋" w:cs="仿宋"/>
          <w:color w:val="auto"/>
          <w:sz w:val="28"/>
          <w:szCs w:val="28"/>
          <w:lang w:val="en-US" w:eastAsia="zh-Hans"/>
        </w:rPr>
        <w:t>本合同及附件文本</w:t>
      </w:r>
      <w:r>
        <w:rPr>
          <w:rFonts w:hint="eastAsia" w:ascii="仿宋" w:hAnsi="仿宋" w:eastAsia="仿宋" w:cs="仿宋"/>
          <w:color w:val="auto"/>
          <w:sz w:val="28"/>
          <w:szCs w:val="28"/>
          <w:lang w:val="en-US" w:eastAsia="zh-CN"/>
        </w:rPr>
        <w:t>。</w:t>
      </w:r>
    </w:p>
    <w:p w14:paraId="3B2C458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（4）依据</w:t>
      </w:r>
      <w:r>
        <w:rPr>
          <w:rFonts w:hint="eastAsia" w:ascii="仿宋" w:hAnsi="仿宋" w:eastAsia="仿宋" w:cs="仿宋"/>
          <w:color w:val="auto"/>
          <w:sz w:val="28"/>
          <w:szCs w:val="28"/>
          <w:lang w:val="en-US" w:eastAsia="zh-Hans"/>
        </w:rPr>
        <w:t>合同签订时国家及行业现行的标准和技术规范。</w:t>
      </w:r>
    </w:p>
    <w:p w14:paraId="63D02C52">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（5）依据</w:t>
      </w:r>
      <w:r>
        <w:rPr>
          <w:rFonts w:hint="eastAsia" w:ascii="仿宋" w:hAnsi="仿宋" w:eastAsia="仿宋" w:cs="仿宋"/>
          <w:color w:val="auto"/>
          <w:sz w:val="28"/>
          <w:szCs w:val="28"/>
          <w:lang w:val="en-US" w:eastAsia="zh-Hans"/>
        </w:rPr>
        <w:t>乙方向甲方提交项目实施过程中的所有资料，以便甲方日后管理和维护。</w:t>
      </w:r>
    </w:p>
    <w:p w14:paraId="140792ED">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lang w:val="en-US" w:eastAsia="zh-Hans"/>
        </w:rPr>
      </w:pPr>
      <w:r>
        <w:rPr>
          <w:rFonts w:hint="eastAsia" w:ascii="仿宋" w:hAnsi="仿宋" w:eastAsia="仿宋" w:cs="仿宋"/>
          <w:b/>
          <w:bCs/>
          <w:color w:val="auto"/>
          <w:sz w:val="28"/>
          <w:szCs w:val="28"/>
          <w:lang w:val="en-US" w:eastAsia="zh-CN"/>
        </w:rPr>
        <w:t>四、</w:t>
      </w:r>
      <w:r>
        <w:rPr>
          <w:rFonts w:hint="eastAsia" w:ascii="仿宋" w:hAnsi="仿宋" w:eastAsia="仿宋" w:cs="仿宋"/>
          <w:b/>
          <w:bCs/>
          <w:color w:val="auto"/>
          <w:sz w:val="28"/>
          <w:szCs w:val="28"/>
          <w:lang w:val="en-US" w:eastAsia="zh-Hans"/>
        </w:rPr>
        <w:t>甲方的权利和义务</w:t>
      </w:r>
    </w:p>
    <w:p w14:paraId="11DB2CC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Hans"/>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甲方有权监督乙方工作执行情况</w:t>
      </w:r>
      <w:r>
        <w:rPr>
          <w:rFonts w:hint="eastAsia" w:ascii="仿宋" w:hAnsi="仿宋" w:eastAsia="仿宋" w:cs="仿宋"/>
          <w:color w:val="auto"/>
          <w:sz w:val="28"/>
          <w:szCs w:val="28"/>
          <w:lang w:val="en-US" w:eastAsia="zh-CN"/>
        </w:rPr>
        <w:t>。</w:t>
      </w:r>
    </w:p>
    <w:p w14:paraId="62293FF0">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lang w:val="en-US" w:eastAsia="zh-Hans"/>
        </w:rPr>
        <w:t>甲方承诺严格依据本合同及《网络信息安全承诺书》的要求，并遵守乙方主管部门关于信息安全管理的要求或类似文件中的规范，合法、健康、安全的使用网络</w:t>
      </w:r>
      <w:r>
        <w:rPr>
          <w:rFonts w:hint="eastAsia" w:ascii="仿宋" w:hAnsi="仿宋" w:eastAsia="仿宋" w:cs="仿宋"/>
          <w:color w:val="auto"/>
          <w:sz w:val="28"/>
          <w:szCs w:val="28"/>
          <w:lang w:val="en-US" w:eastAsia="zh-CN"/>
        </w:rPr>
        <w:t>（详见</w:t>
      </w:r>
      <w:r>
        <w:rPr>
          <w:rFonts w:hint="eastAsia" w:ascii="仿宋" w:hAnsi="仿宋" w:eastAsia="仿宋" w:cs="仿宋"/>
          <w:color w:val="auto"/>
          <w:sz w:val="28"/>
          <w:szCs w:val="28"/>
          <w:lang w:eastAsia="zh-CN"/>
        </w:rPr>
        <w:t>合同附件2：网络信息安全承诺书）。</w:t>
      </w:r>
    </w:p>
    <w:p w14:paraId="5282F322">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val="en-US" w:eastAsia="zh-Hans"/>
        </w:rPr>
        <w:t>甲方负责提供乙方通信设备、线路安装场所及设备所需的接入电源。</w:t>
      </w:r>
    </w:p>
    <w:p w14:paraId="723EF1FB">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甲方协调物业给乙方入场施工提供相应的协助和便利。</w:t>
      </w:r>
    </w:p>
    <w:p w14:paraId="4AF0BF36">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lang w:val="en-US" w:eastAsia="zh-Hans"/>
        </w:rPr>
        <w:t>甲方有权要求乙方人员遵守甲方的规章制度，并对甲方相关信息资料进行保密。</w:t>
      </w:r>
    </w:p>
    <w:p w14:paraId="191F2048">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en-US" w:eastAsia="zh-Hans"/>
        </w:rPr>
        <w:t>甲方有权对乙方配备的人员进行审核，乙方如更换工作人员，应征得甲方同意后更换</w:t>
      </w:r>
      <w:r>
        <w:rPr>
          <w:rFonts w:hint="eastAsia" w:ascii="仿宋" w:hAnsi="仿宋" w:eastAsia="仿宋" w:cs="仿宋"/>
          <w:color w:val="auto"/>
          <w:sz w:val="28"/>
          <w:szCs w:val="28"/>
          <w:lang w:val="en-US" w:eastAsia="zh-CN"/>
        </w:rPr>
        <w:t>。</w:t>
      </w:r>
    </w:p>
    <w:p w14:paraId="1094730A">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val="en-US" w:eastAsia="zh-Hans"/>
        </w:rPr>
        <w:t>甲方应按合同约定及时向乙方支付服务费用。</w:t>
      </w:r>
    </w:p>
    <w:p w14:paraId="5250B9C9">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rPr>
        <w:t>乙方的权利和义务</w:t>
      </w:r>
    </w:p>
    <w:p w14:paraId="48CE3D7D">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建立健全岗位责任制度和管理制度等体系,并加强对人员的管理。</w:t>
      </w:r>
    </w:p>
    <w:p w14:paraId="2225E6C2">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乙方应识别活动场所可能发生的环境因素和危险源，按甲方的要求实施管理、检查和控制。</w:t>
      </w:r>
    </w:p>
    <w:p w14:paraId="1890D58F">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如因乙方原因，对甲方造成经济损失或不良社会影响，乙方负责消除不良影响并自行承担由此发生的费用及责任。</w:t>
      </w:r>
    </w:p>
    <w:p w14:paraId="115A113B">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乙方应按本合同的具体要求，按时、按质</w:t>
      </w:r>
      <w:r>
        <w:rPr>
          <w:rFonts w:hint="eastAsia" w:ascii="仿宋" w:hAnsi="仿宋" w:eastAsia="仿宋" w:cs="仿宋"/>
          <w:color w:val="auto"/>
          <w:sz w:val="28"/>
          <w:szCs w:val="28"/>
          <w:lang w:val="en-US" w:eastAsia="zh-CN"/>
        </w:rPr>
        <w:t>接</w:t>
      </w:r>
      <w:r>
        <w:rPr>
          <w:rFonts w:hint="eastAsia" w:ascii="仿宋" w:hAnsi="仿宋" w:eastAsia="仿宋" w:cs="仿宋"/>
          <w:color w:val="auto"/>
          <w:sz w:val="28"/>
          <w:szCs w:val="28"/>
          <w:lang w:val="en-US" w:eastAsia="zh-Hans"/>
        </w:rPr>
        <w:t>通各条通信链路及光纤等业务，乙方不能在没有与甲方沟通及征求甲方同意的情况下私自暂停合同内各条链路及网络通信服务，如因私自暂停造成的后果由乙方全权承担，给甲方造成损失的应承担相应的赔偿责任。</w:t>
      </w:r>
    </w:p>
    <w:p w14:paraId="0AF8580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Hans"/>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en-US" w:eastAsia="zh-Hans"/>
        </w:rPr>
        <w:t>乙方负责施工过程中产生的所有费用和安全责任，包括材料、设备、人工、税费、安全等；因施工、调试、维修维护等发生的安全事故由乙方承担全部责任及全部赔偿，甲方不承担任何费用及安全责任。</w:t>
      </w:r>
    </w:p>
    <w:p w14:paraId="69A0EB46">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en-US" w:eastAsia="zh-Hans"/>
        </w:rPr>
        <w:t>乙方施工过程中须按国家相关规范施工、保证施工质量。</w:t>
      </w:r>
    </w:p>
    <w:p w14:paraId="06C9D68B">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val="en-US" w:eastAsia="zh-Hans"/>
        </w:rPr>
        <w:t>乙方应每周一次定期维护合同内各条线路和通信网络，在合同期内保证甲方通信电路和光纤的正常使用</w:t>
      </w:r>
      <w:r>
        <w:rPr>
          <w:rFonts w:hint="eastAsia" w:ascii="仿宋" w:hAnsi="仿宋" w:eastAsia="仿宋" w:cs="仿宋"/>
          <w:color w:val="auto"/>
          <w:sz w:val="28"/>
          <w:szCs w:val="28"/>
          <w:lang w:val="en-US" w:eastAsia="zh-CN"/>
        </w:rPr>
        <w:t>。</w:t>
      </w:r>
    </w:p>
    <w:p w14:paraId="03EAA28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lang w:val="en-US" w:eastAsia="zh-Hans"/>
        </w:rPr>
        <w:t>乙方提供7*24小时的故障报修体系，承诺在报障后8小时内排除网络故障，如因甲方原因或遇不可抗力因素，期限顺延。</w:t>
      </w:r>
    </w:p>
    <w:p w14:paraId="5B3E35C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Hans"/>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lang w:val="en-US" w:eastAsia="zh-Hans"/>
        </w:rPr>
        <w:t>乙方建设的光缆传输设备的产权归乙方，乙方应保证该部分的正常运行、维护。</w:t>
      </w:r>
    </w:p>
    <w:p w14:paraId="236EF7F8">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lang w:val="en-US" w:eastAsia="zh-Hans"/>
        </w:rPr>
        <w:t>合同内各条线路开通后的运维及通信服务范围内的安全责任全部由乙方承担。</w:t>
      </w:r>
    </w:p>
    <w:p w14:paraId="0935F9D6">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六、其他约定</w:t>
      </w:r>
    </w:p>
    <w:p w14:paraId="5D2B0991">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按本合同要求，乙方所提供的通信网络服务，除天灾等不可抗力、市政施工等非乙方责任外，每年故障率不超过3次，每次故障应及时登记，甲乙双方进行确认，服务年度最后一个月甲方对乙方的当年度服务进行综合评价，评价结果参照故障率。如果年度故障率超出三次，每增加一次故障甲方将在当年通信服务费内扣除当年度服务费总金额的1%，年度故障率超过10次的，甲方有权解除合同，以此来确保乙方的通信服务质量。</w:t>
      </w:r>
    </w:p>
    <w:p w14:paraId="037DEA02">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甲乙双方的违约责任</w:t>
      </w:r>
    </w:p>
    <w:p w14:paraId="007CD6BD">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1.甲方违反合同规定无正当理由拒绝验收的，应当承担由此对乙方造成的损失。</w:t>
      </w:r>
    </w:p>
    <w:p w14:paraId="55192C38">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乙方所提供服务不符合国家法律法规和合同规定的，甲方有权拒收，要求乙方立即调整，并由乙方承担一切费用；如乙方调整2次后仍不符合要求，甲方有权单方解除合同，并要求乙方承担合同总金额20%的违约金，如果违约金不足以弥补甲方因此遭受的损失，乙方还应予以补足。</w:t>
      </w:r>
    </w:p>
    <w:p w14:paraId="28E3F69C">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w:t>
      </w:r>
      <w:r>
        <w:rPr>
          <w:rFonts w:hint="default" w:ascii="仿宋" w:hAnsi="仿宋" w:eastAsia="仿宋" w:cs="仿宋"/>
          <w:color w:val="auto"/>
          <w:sz w:val="28"/>
          <w:szCs w:val="28"/>
          <w:lang w:val="en-US" w:eastAsia="zh-CN"/>
        </w:rPr>
        <w:t>守约方</w:t>
      </w:r>
      <w:r>
        <w:rPr>
          <w:rFonts w:hint="eastAsia" w:ascii="仿宋" w:hAnsi="仿宋" w:eastAsia="仿宋" w:cs="仿宋"/>
          <w:color w:val="auto"/>
          <w:sz w:val="28"/>
          <w:szCs w:val="28"/>
          <w:lang w:val="en-US" w:eastAsia="zh-CN"/>
        </w:rPr>
        <w:t>应在违约行为发生之日起3个工作日内向</w:t>
      </w:r>
      <w:r>
        <w:rPr>
          <w:rFonts w:hint="default" w:ascii="仿宋" w:hAnsi="仿宋" w:eastAsia="仿宋" w:cs="仿宋"/>
          <w:color w:val="auto"/>
          <w:sz w:val="28"/>
          <w:szCs w:val="28"/>
          <w:lang w:val="en-US" w:eastAsia="zh-CN"/>
        </w:rPr>
        <w:t>违约</w:t>
      </w:r>
      <w:r>
        <w:rPr>
          <w:rFonts w:hint="eastAsia" w:ascii="仿宋" w:hAnsi="仿宋" w:eastAsia="仿宋" w:cs="仿宋"/>
          <w:color w:val="auto"/>
          <w:sz w:val="28"/>
          <w:szCs w:val="28"/>
          <w:lang w:val="en-US" w:eastAsia="zh-CN"/>
        </w:rPr>
        <w:t>方发出质询违约情况的书面通知，如违约方承认违约行为</w:t>
      </w:r>
      <w:r>
        <w:rPr>
          <w:rFonts w:hint="default" w:ascii="仿宋" w:hAnsi="仿宋" w:eastAsia="仿宋" w:cs="仿宋"/>
          <w:color w:val="auto"/>
          <w:sz w:val="28"/>
          <w:szCs w:val="28"/>
          <w:lang w:val="en-US" w:eastAsia="zh-CN"/>
        </w:rPr>
        <w:t>的</w:t>
      </w:r>
      <w:r>
        <w:rPr>
          <w:rFonts w:hint="eastAsia" w:ascii="仿宋" w:hAnsi="仿宋" w:eastAsia="仿宋" w:cs="仿宋"/>
          <w:color w:val="auto"/>
          <w:sz w:val="28"/>
          <w:szCs w:val="28"/>
          <w:lang w:val="en-US" w:eastAsia="zh-CN"/>
        </w:rPr>
        <w:t>存在，则违约方应在收到质询违约书面通知后的7个工作日内对违约行为予以纠正并书面通知守约方；如认为违约行为不存在，</w:t>
      </w:r>
      <w:r>
        <w:rPr>
          <w:rFonts w:hint="default" w:ascii="仿宋" w:hAnsi="仿宋" w:eastAsia="仿宋" w:cs="仿宋"/>
          <w:color w:val="auto"/>
          <w:sz w:val="28"/>
          <w:szCs w:val="28"/>
          <w:lang w:val="en-US" w:eastAsia="zh-CN"/>
        </w:rPr>
        <w:t>违约方</w:t>
      </w:r>
      <w:r>
        <w:rPr>
          <w:rFonts w:hint="eastAsia" w:ascii="仿宋" w:hAnsi="仿宋" w:eastAsia="仿宋" w:cs="仿宋"/>
          <w:color w:val="auto"/>
          <w:sz w:val="28"/>
          <w:szCs w:val="28"/>
          <w:lang w:val="en-US" w:eastAsia="zh-CN"/>
        </w:rPr>
        <w:t>则应在收到质询违约书面通知后的7个工作日内向守约方提出书面异议或说明。</w:t>
      </w:r>
    </w:p>
    <w:p w14:paraId="411BFDB8">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4.如一方违约的，守约方有权向违约方主张合同总金额10%的违约金，如果违约金不足以弥补违约方给守约方造成的损失，违约方还应承担补足守约方损失。</w:t>
      </w:r>
    </w:p>
    <w:p w14:paraId="4BE90551">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合同变更与终止</w:t>
      </w:r>
    </w:p>
    <w:p w14:paraId="45C3B4A8">
      <w:pPr>
        <w:keepNext w:val="0"/>
        <w:keepLines w:val="0"/>
        <w:pageBreakBefore w:val="0"/>
        <w:widowControl/>
        <w:kinsoku/>
        <w:overflowPunct/>
        <w:topLinePunct w:val="0"/>
        <w:autoSpaceDE/>
        <w:autoSpaceDN/>
        <w:bidi w:val="0"/>
        <w:snapToGrid w:val="0"/>
        <w:spacing w:beforeAutospacing="0" w:line="560" w:lineRule="exact"/>
        <w:ind w:right="-197" w:rightChars="-94"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合同期间任何一方不得随意变更、终止合同。</w:t>
      </w:r>
    </w:p>
    <w:p w14:paraId="4E3ED4D6">
      <w:pPr>
        <w:keepNext w:val="0"/>
        <w:keepLines w:val="0"/>
        <w:pageBreakBefore w:val="0"/>
        <w:widowControl/>
        <w:kinsoku/>
        <w:overflowPunct/>
        <w:topLinePunct w:val="0"/>
        <w:autoSpaceDE/>
        <w:autoSpaceDN/>
        <w:bidi w:val="0"/>
        <w:snapToGrid w:val="0"/>
        <w:spacing w:beforeAutospacing="0" w:line="560" w:lineRule="exact"/>
        <w:ind w:right="-197" w:rightChars="-94"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本合同规定的履行期限届满，合同自动终止。</w:t>
      </w:r>
    </w:p>
    <w:p w14:paraId="1B0FBAEC">
      <w:pPr>
        <w:keepNext w:val="0"/>
        <w:keepLines w:val="0"/>
        <w:pageBreakBefore w:val="0"/>
        <w:widowControl/>
        <w:kinsoku/>
        <w:overflowPunct/>
        <w:topLinePunct w:val="0"/>
        <w:autoSpaceDE/>
        <w:autoSpaceDN/>
        <w:bidi w:val="0"/>
        <w:snapToGrid w:val="0"/>
        <w:spacing w:beforeAutospacing="0" w:line="560" w:lineRule="exact"/>
        <w:ind w:right="-197" w:rightChars="-94"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因双方机构撤并、职能调整等原因，确需终止合同的，双方可协商终止合同。</w:t>
      </w:r>
    </w:p>
    <w:p w14:paraId="1ECAE31C">
      <w:pPr>
        <w:keepNext w:val="0"/>
        <w:keepLines w:val="0"/>
        <w:pageBreakBefore w:val="0"/>
        <w:widowControl/>
        <w:kinsoku/>
        <w:overflowPunct/>
        <w:topLinePunct w:val="0"/>
        <w:autoSpaceDE/>
        <w:autoSpaceDN/>
        <w:bidi w:val="0"/>
        <w:snapToGrid w:val="0"/>
        <w:spacing w:beforeAutospacing="0" w:line="560" w:lineRule="exact"/>
        <w:ind w:right="-197" w:rightChars="-94"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乙方应自觉遵守甲方工作纪律、规章制度，服从甲方管理。乙方在合同履行期</w:t>
      </w:r>
      <w:r>
        <w:rPr>
          <w:rFonts w:hint="eastAsia" w:ascii="仿宋" w:hAnsi="仿宋" w:eastAsia="仿宋" w:cs="仿宋"/>
          <w:color w:val="auto"/>
          <w:sz w:val="28"/>
          <w:szCs w:val="28"/>
          <w:highlight w:val="none"/>
          <w:lang w:val="en-US" w:eastAsia="zh-CN"/>
        </w:rPr>
        <w:t>间</w:t>
      </w:r>
      <w:r>
        <w:rPr>
          <w:rFonts w:hint="eastAsia" w:ascii="仿宋" w:hAnsi="仿宋" w:eastAsia="仿宋" w:cs="仿宋"/>
          <w:color w:val="auto"/>
          <w:sz w:val="28"/>
          <w:szCs w:val="28"/>
          <w:highlight w:val="none"/>
        </w:rPr>
        <w:t>发生根本性违约的，甲方可以单方面解除合同。</w:t>
      </w:r>
    </w:p>
    <w:p w14:paraId="7B10A945">
      <w:pPr>
        <w:keepNext w:val="0"/>
        <w:keepLines w:val="0"/>
        <w:pageBreakBefore w:val="0"/>
        <w:widowControl/>
        <w:kinsoku/>
        <w:overflowPunct/>
        <w:topLinePunct w:val="0"/>
        <w:autoSpaceDE/>
        <w:autoSpaceDN/>
        <w:bidi w:val="0"/>
        <w:snapToGrid w:val="0"/>
        <w:spacing w:beforeAutospacing="0" w:line="560" w:lineRule="exact"/>
        <w:ind w:right="-197" w:rightChars="-94" w:firstLine="560" w:firstLineChars="200"/>
        <w:jc w:val="left"/>
        <w:rPr>
          <w:rFonts w:hint="eastAsia" w:ascii="仿宋" w:hAnsi="仿宋" w:eastAsia="仿宋" w:cs="仿宋"/>
          <w:b/>
          <w:bCs/>
          <w:color w:val="auto"/>
          <w:sz w:val="28"/>
          <w:szCs w:val="28"/>
          <w:lang w:val="en-US" w:eastAsia="zh-CN"/>
        </w:rPr>
      </w:pP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合同继续履行将损害国家利益和社会公共利益的，双方应当变更或者终</w:t>
      </w:r>
      <w:r>
        <w:rPr>
          <w:rFonts w:hint="eastAsia" w:ascii="仿宋" w:hAnsi="仿宋" w:eastAsia="仿宋" w:cs="仿宋"/>
          <w:color w:val="auto"/>
          <w:sz w:val="28"/>
          <w:szCs w:val="28"/>
          <w:highlight w:val="none"/>
          <w:lang w:val="en-US" w:eastAsia="zh-CN"/>
        </w:rPr>
        <w:t>止</w:t>
      </w:r>
      <w:r>
        <w:rPr>
          <w:rFonts w:hint="eastAsia" w:ascii="仿宋" w:hAnsi="仿宋" w:eastAsia="仿宋" w:cs="仿宋"/>
          <w:color w:val="auto"/>
          <w:sz w:val="28"/>
          <w:szCs w:val="28"/>
          <w:highlight w:val="none"/>
        </w:rPr>
        <w:t>合同，但变更的内容不得对竞争性磋商文件确定的事项和乙方磋商响应文件作实质性修改，有过错的一方应当承担赔偿责任，双方都有过错的，各自承担相应的责任。</w:t>
      </w:r>
    </w:p>
    <w:p w14:paraId="6CB5DF73">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九、</w:t>
      </w:r>
      <w:r>
        <w:rPr>
          <w:rFonts w:hint="eastAsia" w:ascii="仿宋" w:hAnsi="仿宋" w:eastAsia="仿宋" w:cs="仿宋"/>
          <w:b/>
          <w:bCs/>
          <w:color w:val="auto"/>
          <w:sz w:val="28"/>
          <w:szCs w:val="28"/>
        </w:rPr>
        <w:t>不可抗力</w:t>
      </w:r>
    </w:p>
    <w:p w14:paraId="55D4DC53">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w:t>
      </w:r>
      <w:r>
        <w:rPr>
          <w:rFonts w:hint="eastAsia" w:ascii="仿宋" w:hAnsi="仿宋" w:eastAsia="仿宋" w:cs="仿宋"/>
          <w:color w:val="auto"/>
          <w:sz w:val="28"/>
          <w:szCs w:val="28"/>
          <w:highlight w:val="none"/>
          <w:lang w:eastAsia="zh-CN"/>
        </w:rPr>
        <w:t>免于</w:t>
      </w:r>
      <w:r>
        <w:rPr>
          <w:rFonts w:hint="eastAsia" w:ascii="仿宋" w:hAnsi="仿宋" w:eastAsia="仿宋" w:cs="仿宋"/>
          <w:color w:val="auto"/>
          <w:sz w:val="28"/>
          <w:szCs w:val="28"/>
          <w:highlight w:val="none"/>
        </w:rPr>
        <w:t>承担违约责任</w:t>
      </w:r>
      <w:r>
        <w:rPr>
          <w:rFonts w:hint="eastAsia" w:ascii="仿宋" w:hAnsi="仿宋" w:eastAsia="仿宋" w:cs="仿宋"/>
          <w:color w:val="auto"/>
          <w:sz w:val="28"/>
          <w:szCs w:val="28"/>
        </w:rPr>
        <w:t>。</w:t>
      </w:r>
    </w:p>
    <w:p w14:paraId="181F4189">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color w:val="auto"/>
          <w:sz w:val="28"/>
          <w:szCs w:val="28"/>
        </w:rPr>
      </w:pPr>
      <w:r>
        <w:rPr>
          <w:rFonts w:hint="eastAsia" w:ascii="仿宋" w:hAnsi="仿宋" w:eastAsia="仿宋" w:cs="仿宋"/>
          <w:b/>
          <w:bCs/>
          <w:color w:val="auto"/>
          <w:sz w:val="28"/>
          <w:szCs w:val="28"/>
          <w:lang w:val="en-US" w:eastAsia="zh-CN"/>
        </w:rPr>
        <w:t>十、</w:t>
      </w:r>
      <w:r>
        <w:rPr>
          <w:rFonts w:hint="eastAsia" w:ascii="仿宋" w:hAnsi="仿宋" w:eastAsia="仿宋" w:cs="仿宋"/>
          <w:b/>
          <w:bCs/>
          <w:color w:val="auto"/>
          <w:sz w:val="28"/>
          <w:szCs w:val="28"/>
        </w:rPr>
        <w:t>争议解决</w:t>
      </w:r>
    </w:p>
    <w:p w14:paraId="0AE9D0D6">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本合同适用中华人民共和国法律。</w:t>
      </w:r>
    </w:p>
    <w:p w14:paraId="609FAE12">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本合同履行中如发生争议，由双方友好协商解决，协商不成的，任何一方均可向</w:t>
      </w:r>
      <w:r>
        <w:rPr>
          <w:rFonts w:hint="eastAsia" w:ascii="仿宋" w:hAnsi="仿宋" w:eastAsia="仿宋" w:cs="仿宋"/>
          <w:color w:val="auto"/>
          <w:sz w:val="28"/>
          <w:szCs w:val="28"/>
          <w:lang w:eastAsia="zh-CN"/>
        </w:rPr>
        <w:t>甲方所在地有管辖权的</w:t>
      </w:r>
      <w:r>
        <w:rPr>
          <w:rFonts w:hint="eastAsia" w:ascii="仿宋" w:hAnsi="仿宋" w:eastAsia="仿宋" w:cs="仿宋"/>
          <w:color w:val="auto"/>
          <w:sz w:val="28"/>
          <w:szCs w:val="28"/>
        </w:rPr>
        <w:t>人民法院</w:t>
      </w:r>
      <w:r>
        <w:rPr>
          <w:rFonts w:hint="eastAsia" w:ascii="仿宋" w:hAnsi="仿宋" w:eastAsia="仿宋" w:cs="仿宋"/>
          <w:color w:val="auto"/>
          <w:sz w:val="28"/>
          <w:szCs w:val="28"/>
          <w:lang w:val="en-US" w:eastAsia="zh-CN"/>
        </w:rPr>
        <w:t>提起诉讼</w:t>
      </w:r>
      <w:r>
        <w:rPr>
          <w:rFonts w:hint="eastAsia" w:ascii="仿宋" w:hAnsi="仿宋" w:eastAsia="仿宋" w:cs="仿宋"/>
          <w:color w:val="auto"/>
          <w:sz w:val="28"/>
          <w:szCs w:val="28"/>
          <w:lang w:eastAsia="zh-CN"/>
        </w:rPr>
        <w:t>。</w:t>
      </w:r>
    </w:p>
    <w:p w14:paraId="40C736E4">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当产生任何争议及任何争议正在</w:t>
      </w:r>
      <w:r>
        <w:rPr>
          <w:rFonts w:hint="eastAsia" w:ascii="仿宋" w:hAnsi="仿宋" w:eastAsia="仿宋" w:cs="仿宋"/>
          <w:color w:val="auto"/>
          <w:sz w:val="28"/>
          <w:szCs w:val="28"/>
          <w:lang w:eastAsia="zh-CN"/>
        </w:rPr>
        <w:t>诉讼</w:t>
      </w:r>
      <w:r>
        <w:rPr>
          <w:rFonts w:hint="eastAsia" w:ascii="仿宋" w:hAnsi="仿宋" w:eastAsia="仿宋" w:cs="仿宋"/>
          <w:color w:val="auto"/>
          <w:sz w:val="28"/>
          <w:szCs w:val="28"/>
        </w:rPr>
        <w:t>时，除争议事项外，双方将继续履行本协议未涉争议及</w:t>
      </w:r>
      <w:r>
        <w:rPr>
          <w:rFonts w:hint="eastAsia" w:ascii="仿宋" w:hAnsi="仿宋" w:eastAsia="仿宋" w:cs="仿宋"/>
          <w:color w:val="auto"/>
          <w:sz w:val="28"/>
          <w:szCs w:val="28"/>
          <w:lang w:eastAsia="zh-CN"/>
        </w:rPr>
        <w:t>诉讼</w:t>
      </w:r>
      <w:r>
        <w:rPr>
          <w:rFonts w:hint="eastAsia" w:ascii="仿宋" w:hAnsi="仿宋" w:eastAsia="仿宋" w:cs="仿宋"/>
          <w:color w:val="auto"/>
          <w:sz w:val="28"/>
          <w:szCs w:val="28"/>
        </w:rPr>
        <w:t>的其它部分。</w:t>
      </w:r>
    </w:p>
    <w:p w14:paraId="4AB92EE7">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十一、</w:t>
      </w:r>
      <w:r>
        <w:rPr>
          <w:rFonts w:hint="eastAsia" w:ascii="仿宋" w:hAnsi="仿宋" w:eastAsia="仿宋" w:cs="仿宋"/>
          <w:b/>
          <w:bCs/>
          <w:color w:val="auto"/>
          <w:sz w:val="28"/>
          <w:szCs w:val="28"/>
        </w:rPr>
        <w:t>监督和管理</w:t>
      </w:r>
    </w:p>
    <w:p w14:paraId="6015796E">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C4352A7">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2.甲乙双方均应自觉配合有关监督管理部门对合同履行情况的监督检查，如实反映情况，提供有关资料。</w:t>
      </w:r>
    </w:p>
    <w:p w14:paraId="22A15F5A">
      <w:pPr>
        <w:keepNext w:val="0"/>
        <w:keepLines w:val="0"/>
        <w:pageBreakBefore w:val="0"/>
        <w:widowControl/>
        <w:kinsoku/>
        <w:overflowPunct/>
        <w:topLinePunct w:val="0"/>
        <w:autoSpaceDE/>
        <w:autoSpaceDN/>
        <w:bidi w:val="0"/>
        <w:snapToGrid w:val="0"/>
        <w:spacing w:beforeAutospacing="0" w:line="560" w:lineRule="exact"/>
        <w:ind w:firstLine="562" w:firstLineChars="20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十二、</w:t>
      </w:r>
      <w:r>
        <w:rPr>
          <w:rFonts w:hint="eastAsia" w:ascii="仿宋" w:hAnsi="仿宋" w:eastAsia="仿宋" w:cs="仿宋"/>
          <w:b/>
          <w:bCs/>
          <w:color w:val="auto"/>
          <w:sz w:val="28"/>
          <w:szCs w:val="28"/>
        </w:rPr>
        <w:t>无效合同</w:t>
      </w:r>
    </w:p>
    <w:p w14:paraId="59513D69">
      <w:pPr>
        <w:keepNext w:val="0"/>
        <w:keepLines w:val="0"/>
        <w:pageBreakBefore w:val="0"/>
        <w:kinsoku/>
        <w:wordWrap/>
        <w:overflowPunct/>
        <w:topLinePunct w:val="0"/>
        <w:autoSpaceDE/>
        <w:autoSpaceDN/>
        <w:bidi w:val="0"/>
        <w:adjustRightInd/>
        <w:snapToGrid w:val="0"/>
        <w:spacing w:beforeAutospacing="0" w:line="560" w:lineRule="exact"/>
        <w:ind w:firstLine="560" w:firstLineChars="200"/>
        <w:jc w:val="both"/>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甲乙双方如因违反政府采购法及相关法律法规的规定，被宣告合同无效的，一切责任概由过错方自行承担。</w:t>
      </w:r>
    </w:p>
    <w:p w14:paraId="1A53FB22">
      <w:pPr>
        <w:keepNext w:val="0"/>
        <w:keepLines w:val="0"/>
        <w:pageBreakBefore w:val="0"/>
        <w:widowControl/>
        <w:kinsoku/>
        <w:wordWrap/>
        <w:overflowPunct/>
        <w:topLinePunct w:val="0"/>
        <w:autoSpaceDE/>
        <w:autoSpaceDN/>
        <w:bidi w:val="0"/>
        <w:snapToGrid w:val="0"/>
        <w:spacing w:beforeAutospacing="0" w:line="560" w:lineRule="exact"/>
        <w:ind w:firstLine="562" w:firstLineChars="200"/>
        <w:jc w:val="both"/>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十三、</w:t>
      </w:r>
      <w:r>
        <w:rPr>
          <w:rFonts w:hint="eastAsia" w:ascii="仿宋" w:hAnsi="仿宋" w:eastAsia="仿宋" w:cs="仿宋"/>
          <w:b/>
          <w:bCs/>
          <w:color w:val="auto"/>
          <w:sz w:val="28"/>
          <w:szCs w:val="28"/>
        </w:rPr>
        <w:t>附则</w:t>
      </w:r>
    </w:p>
    <w:p w14:paraId="35EEEC60">
      <w:pPr>
        <w:keepNext w:val="0"/>
        <w:keepLines w:val="0"/>
        <w:pageBreakBefore w:val="0"/>
        <w:widowControl/>
        <w:kinsoku/>
        <w:wordWrap w:val="0"/>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none"/>
          <w:lang w:eastAsia="zh-CN"/>
        </w:rPr>
        <w:t>特殊监管区支撑机构网络专线服务项目采购</w:t>
      </w:r>
      <w:r>
        <w:rPr>
          <w:rFonts w:hint="eastAsia" w:ascii="仿宋" w:hAnsi="仿宋" w:eastAsia="仿宋" w:cs="仿宋"/>
          <w:color w:val="auto"/>
          <w:sz w:val="28"/>
          <w:szCs w:val="28"/>
        </w:rPr>
        <w:t>的竞争性磋商文件、成交通知书、磋商响应文件及澄清说明文件都是本合同的组成部分，甲、乙双方必须全面遵守，如有违反，应承担违约责任。</w:t>
      </w:r>
    </w:p>
    <w:p w14:paraId="4071F837">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本合同未尽事宜，双方共同协商达成补充协议，补充协议和附件与本合同具有同等法律效力。</w:t>
      </w:r>
    </w:p>
    <w:p w14:paraId="5DA1AF2F">
      <w:pPr>
        <w:keepNext w:val="0"/>
        <w:keepLines w:val="0"/>
        <w:pageBreakBefore w:val="0"/>
        <w:widowControl/>
        <w:kinsoku/>
        <w:overflowPunct/>
        <w:topLinePunct w:val="0"/>
        <w:autoSpaceDE/>
        <w:autoSpaceDN/>
        <w:bidi w:val="0"/>
        <w:snapToGrid w:val="0"/>
        <w:spacing w:beforeAutospacing="0" w:line="560" w:lineRule="exact"/>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本合同一式</w:t>
      </w:r>
      <w:r>
        <w:rPr>
          <w:rFonts w:hint="eastAsia" w:ascii="仿宋" w:hAnsi="仿宋" w:eastAsia="仿宋" w:cs="仿宋"/>
          <w:color w:val="auto"/>
          <w:sz w:val="28"/>
          <w:szCs w:val="28"/>
          <w:lang w:val="en-US" w:eastAsia="zh-CN"/>
        </w:rPr>
        <w:t>七</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lang w:val="en-US" w:eastAsia="zh-CN"/>
        </w:rPr>
        <w:t>两</w:t>
      </w:r>
      <w:r>
        <w:rPr>
          <w:rFonts w:hint="eastAsia" w:ascii="仿宋" w:hAnsi="仿宋" w:eastAsia="仿宋" w:cs="仿宋"/>
          <w:color w:val="auto"/>
          <w:sz w:val="28"/>
          <w:szCs w:val="28"/>
        </w:rPr>
        <w:t>份,政府采购监督管理机构一份,政府采购代理机构两份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合同自签订之日起生效。</w:t>
      </w:r>
    </w:p>
    <w:p w14:paraId="467C21D5">
      <w:pPr>
        <w:pStyle w:val="5"/>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kern w:val="2"/>
          <w:sz w:val="28"/>
          <w:szCs w:val="28"/>
          <w:u w:val="none"/>
          <w:lang w:val="en-US" w:eastAsia="zh-CN" w:bidi="ar-SA"/>
        </w:rPr>
      </w:pPr>
    </w:p>
    <w:p w14:paraId="2C28349E">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甲方（盖章）：</w:t>
      </w:r>
      <w:r>
        <w:rPr>
          <w:rFonts w:hint="eastAsia" w:ascii="仿宋" w:hAnsi="仿宋" w:eastAsia="仿宋" w:cs="仿宋"/>
          <w:color w:val="auto"/>
          <w:sz w:val="28"/>
          <w:szCs w:val="28"/>
          <w:u w:val="none"/>
          <w:lang w:val="en-US" w:eastAsia="zh-CN"/>
        </w:rPr>
        <w:t xml:space="preserve">      </w:t>
      </w:r>
    </w:p>
    <w:p w14:paraId="019F9619">
      <w:pPr>
        <w:pStyle w:val="4"/>
        <w:rPr>
          <w:rFonts w:hint="eastAsia"/>
          <w:color w:val="auto"/>
        </w:rPr>
      </w:pPr>
    </w:p>
    <w:p w14:paraId="6FFCBDD2">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或委托代理人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       </w:t>
      </w:r>
    </w:p>
    <w:p w14:paraId="2CADBA2D">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 xml:space="preserve">日期：  </w:t>
      </w:r>
      <w:r>
        <w:rPr>
          <w:rFonts w:hint="eastAsia" w:ascii="仿宋" w:hAnsi="仿宋" w:eastAsia="仿宋" w:cs="仿宋"/>
          <w:color w:val="auto"/>
          <w:sz w:val="28"/>
          <w:szCs w:val="28"/>
        </w:rPr>
        <w:t>年</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 xml:space="preserve">日     </w:t>
      </w:r>
    </w:p>
    <w:p w14:paraId="34821A06">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left"/>
        <w:textAlignment w:val="auto"/>
        <w:rPr>
          <w:rFonts w:hint="eastAsia" w:ascii="仿宋" w:hAnsi="仿宋" w:eastAsia="仿宋" w:cs="仿宋"/>
          <w:color w:val="auto"/>
          <w:sz w:val="28"/>
          <w:szCs w:val="28"/>
        </w:rPr>
      </w:pPr>
    </w:p>
    <w:p w14:paraId="2B5DC3AF">
      <w:pPr>
        <w:pStyle w:val="5"/>
        <w:keepNext w:val="0"/>
        <w:keepLines w:val="0"/>
        <w:pageBreakBefore w:val="0"/>
        <w:kinsoku/>
        <w:wordWrap/>
        <w:overflowPunct/>
        <w:topLinePunct w:val="0"/>
        <w:autoSpaceDE/>
        <w:autoSpaceDN/>
        <w:bidi w:val="0"/>
        <w:adjustRightInd/>
        <w:snapToGrid/>
        <w:spacing w:line="560" w:lineRule="exact"/>
        <w:jc w:val="left"/>
        <w:textAlignment w:val="auto"/>
        <w:rPr>
          <w:rFonts w:hint="eastAsia"/>
          <w:color w:val="auto"/>
        </w:rPr>
      </w:pPr>
    </w:p>
    <w:p w14:paraId="09FD48E9">
      <w:pPr>
        <w:pStyle w:val="4"/>
        <w:widowControl w:val="0"/>
        <w:ind w:left="0" w:leftChars="0"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乙方（盖章）：</w:t>
      </w:r>
      <w:r>
        <w:rPr>
          <w:rFonts w:hint="eastAsia" w:ascii="仿宋" w:hAnsi="仿宋" w:eastAsia="仿宋" w:cs="仿宋"/>
          <w:color w:val="auto"/>
          <w:sz w:val="28"/>
          <w:szCs w:val="28"/>
          <w:u w:val="none"/>
          <w:lang w:val="en-US" w:eastAsia="zh-CN"/>
        </w:rPr>
        <w:t xml:space="preserve">  </w:t>
      </w:r>
    </w:p>
    <w:p w14:paraId="6063BF80">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left"/>
        <w:textAlignment w:val="auto"/>
        <w:rPr>
          <w:rFonts w:hint="eastAsia" w:ascii="仿宋" w:hAnsi="仿宋" w:eastAsia="仿宋" w:cs="仿宋"/>
          <w:color w:val="auto"/>
          <w:sz w:val="28"/>
          <w:szCs w:val="28"/>
        </w:rPr>
      </w:pPr>
    </w:p>
    <w:p w14:paraId="615C0516">
      <w:pPr>
        <w:keepNext w:val="0"/>
        <w:keepLines w:val="0"/>
        <w:pageBreakBefore w:val="0"/>
        <w:widowControl/>
        <w:kinsoku/>
        <w:wordWrap/>
        <w:overflowPunct/>
        <w:topLinePunct w:val="0"/>
        <w:autoSpaceDE/>
        <w:autoSpaceDN/>
        <w:bidi w:val="0"/>
        <w:adjustRightInd/>
        <w:snapToGrid/>
        <w:spacing w:beforeAutospacing="0" w:line="560" w:lineRule="exact"/>
        <w:ind w:firstLine="560" w:firstLineChars="200"/>
        <w:jc w:val="left"/>
        <w:textAlignment w:val="auto"/>
        <w:rPr>
          <w:rFonts w:hint="eastAsia"/>
          <w:color w:val="auto"/>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或委托代理人</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w:t>
      </w:r>
    </w:p>
    <w:p w14:paraId="00BF6489">
      <w:pPr>
        <w:pStyle w:val="4"/>
        <w:keepNext w:val="0"/>
        <w:keepLines w:val="0"/>
        <w:pageBreakBefore w:val="0"/>
        <w:kinsoku/>
        <w:wordWrap/>
        <w:overflowPunct/>
        <w:topLinePunct w:val="0"/>
        <w:autoSpaceDE/>
        <w:autoSpaceDN/>
        <w:bidi w:val="0"/>
        <w:adjustRightInd/>
        <w:snapToGrid/>
        <w:spacing w:line="560" w:lineRule="exact"/>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日期：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784C2F10">
      <w:pPr>
        <w:keepNext w:val="0"/>
        <w:keepLines w:val="0"/>
        <w:pageBreakBefore w:val="0"/>
        <w:overflowPunct/>
        <w:topLinePunct w:val="0"/>
        <w:bidi w:val="0"/>
        <w:snapToGrid w:val="0"/>
        <w:spacing w:line="360" w:lineRule="auto"/>
        <w:rPr>
          <w:rFonts w:hint="eastAsia" w:ascii="仿宋" w:hAnsi="仿宋" w:eastAsia="仿宋" w:cs="仿宋"/>
          <w:color w:val="auto"/>
          <w:sz w:val="28"/>
          <w:szCs w:val="28"/>
        </w:rPr>
      </w:pPr>
    </w:p>
    <w:p w14:paraId="1BA831CD">
      <w:pPr>
        <w:rPr>
          <w:color w:val="auto"/>
        </w:rPr>
      </w:pPr>
    </w:p>
    <w:p w14:paraId="5506D4E5">
      <w:pPr>
        <w:pStyle w:val="11"/>
        <w:rPr>
          <w:rFonts w:ascii="仿宋" w:hAnsi="仿宋" w:eastAsia="仿宋" w:cs="仿宋"/>
          <w:color w:val="auto"/>
          <w:lang w:eastAsia="zh-CN"/>
        </w:rPr>
      </w:pPr>
    </w:p>
    <w:p w14:paraId="71F82CC6">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br w:type="page"/>
      </w:r>
    </w:p>
    <w:p w14:paraId="3C98A513">
      <w:pPr>
        <w:keepNext w:val="0"/>
        <w:keepLines w:val="0"/>
        <w:pageBreakBefore w:val="0"/>
        <w:kinsoku/>
        <w:wordWrap/>
        <w:overflowPunct/>
        <w:topLinePunct w:val="0"/>
        <w:autoSpaceDE/>
        <w:autoSpaceDN/>
        <w:bidi w:val="0"/>
        <w:adjustRightInd/>
        <w:snapToGrid w:val="0"/>
        <w:spacing w:beforeAutospacing="0" w:line="560" w:lineRule="exact"/>
        <w:jc w:val="both"/>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附件1：</w:t>
      </w:r>
    </w:p>
    <w:p w14:paraId="2DE26CED">
      <w:pPr>
        <w:keepNext w:val="0"/>
        <w:keepLines w:val="0"/>
        <w:pageBreakBefore w:val="0"/>
        <w:kinsoku/>
        <w:wordWrap/>
        <w:overflowPunct/>
        <w:topLinePunct w:val="0"/>
        <w:autoSpaceDE/>
        <w:autoSpaceDN/>
        <w:bidi w:val="0"/>
        <w:adjustRightInd/>
        <w:snapToGrid w:val="0"/>
        <w:spacing w:beforeAutospacing="0" w:line="560" w:lineRule="exact"/>
        <w:jc w:val="center"/>
        <w:textAlignment w:val="auto"/>
        <w:rPr>
          <w:rFonts w:hint="eastAsia" w:ascii="仿宋" w:hAnsi="仿宋" w:eastAsia="仿宋" w:cs="仿宋"/>
          <w:b/>
          <w:bCs/>
          <w:color w:val="auto"/>
          <w:sz w:val="28"/>
          <w:szCs w:val="28"/>
          <w:highlight w:val="none"/>
          <w:lang w:eastAsia="zh-Hans"/>
        </w:rPr>
      </w:pPr>
      <w:r>
        <w:rPr>
          <w:rFonts w:hint="eastAsia" w:ascii="仿宋" w:hAnsi="仿宋" w:eastAsia="仿宋" w:cs="仿宋"/>
          <w:b/>
          <w:bCs/>
          <w:color w:val="auto"/>
          <w:sz w:val="28"/>
          <w:szCs w:val="28"/>
          <w:lang w:val="en-US" w:eastAsia="zh-CN"/>
        </w:rPr>
        <w:t>特殊监管区支撑机构网络专线服务项目</w:t>
      </w:r>
      <w:r>
        <w:rPr>
          <w:rFonts w:hint="eastAsia" w:ascii="仿宋" w:hAnsi="仿宋" w:eastAsia="仿宋" w:cs="仿宋"/>
          <w:b/>
          <w:bCs/>
          <w:color w:val="auto"/>
          <w:sz w:val="28"/>
          <w:szCs w:val="28"/>
          <w:highlight w:val="none"/>
          <w:lang w:val="en-US" w:eastAsia="zh-CN"/>
        </w:rPr>
        <w:t>要求及费用清单</w:t>
      </w:r>
    </w:p>
    <w:p w14:paraId="3F470CEE">
      <w:pPr>
        <w:rPr>
          <w:rFonts w:hint="eastAsia" w:ascii="仿宋" w:hAnsi="仿宋" w:eastAsia="仿宋" w:cs="仿宋"/>
          <w:b/>
          <w:bCs/>
          <w:color w:val="auto"/>
          <w:sz w:val="28"/>
          <w:szCs w:val="28"/>
          <w:highlight w:val="none"/>
        </w:rPr>
      </w:pPr>
    </w:p>
    <w:tbl>
      <w:tblPr>
        <w:tblStyle w:val="8"/>
        <w:tblW w:w="9857" w:type="dxa"/>
        <w:tblInd w:w="0" w:type="dxa"/>
        <w:tblLayout w:type="fixed"/>
        <w:tblCellMar>
          <w:top w:w="15" w:type="dxa"/>
          <w:left w:w="15" w:type="dxa"/>
          <w:bottom w:w="15" w:type="dxa"/>
          <w:right w:w="15" w:type="dxa"/>
        </w:tblCellMar>
      </w:tblPr>
      <w:tblGrid>
        <w:gridCol w:w="1378"/>
        <w:gridCol w:w="1181"/>
        <w:gridCol w:w="1169"/>
        <w:gridCol w:w="1176"/>
        <w:gridCol w:w="1185"/>
        <w:gridCol w:w="1191"/>
        <w:gridCol w:w="1170"/>
        <w:gridCol w:w="1407"/>
      </w:tblGrid>
      <w:tr w14:paraId="72CB7D78">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4E8FB2A9">
            <w:pPr>
              <w:widowControl/>
              <w:jc w:val="center"/>
              <w:textAlignment w:val="center"/>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序号</w:t>
            </w: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3AF8F148">
            <w:pPr>
              <w:widowControl/>
              <w:jc w:val="center"/>
              <w:textAlignment w:val="center"/>
              <w:rPr>
                <w:rFonts w:hint="eastAsia" w:ascii="仿宋" w:hAnsi="仿宋" w:eastAsia="仿宋" w:cs="仿宋"/>
                <w:color w:val="auto"/>
                <w:kern w:val="0"/>
                <w:sz w:val="28"/>
                <w:szCs w:val="28"/>
                <w:lang w:eastAsia="zh-CN" w:bidi="ar"/>
              </w:rPr>
            </w:pPr>
            <w:r>
              <w:rPr>
                <w:rFonts w:hint="eastAsia" w:ascii="仿宋" w:hAnsi="仿宋" w:eastAsia="仿宋" w:cs="仿宋"/>
                <w:color w:val="auto"/>
                <w:kern w:val="0"/>
                <w:sz w:val="28"/>
                <w:szCs w:val="28"/>
                <w:lang w:val="en-US" w:eastAsia="zh-CN" w:bidi="ar"/>
              </w:rPr>
              <w:t>产品名称</w:t>
            </w: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4C66D5D9">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带宽</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373B783B">
            <w:pPr>
              <w:widowControl/>
              <w:jc w:val="center"/>
              <w:textAlignment w:val="center"/>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数量</w:t>
            </w:r>
          </w:p>
          <w:p w14:paraId="7FEABD28">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（条）</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75044D45">
            <w:pPr>
              <w:widowControl/>
              <w:jc w:val="center"/>
              <w:textAlignment w:val="center"/>
              <w:rPr>
                <w:rFonts w:hint="eastAsia" w:ascii="仿宋" w:hAnsi="仿宋" w:eastAsia="仿宋" w:cs="仿宋"/>
                <w:color w:val="auto"/>
                <w:kern w:val="0"/>
                <w:sz w:val="28"/>
                <w:szCs w:val="28"/>
                <w:lang w:bidi="ar"/>
              </w:rPr>
            </w:pPr>
            <w:r>
              <w:rPr>
                <w:rFonts w:hint="eastAsia" w:ascii="仿宋" w:hAnsi="仿宋" w:eastAsia="仿宋" w:cs="仿宋"/>
                <w:color w:val="auto"/>
                <w:kern w:val="0"/>
                <w:sz w:val="28"/>
                <w:szCs w:val="28"/>
                <w:lang w:val="en-US" w:eastAsia="zh-CN" w:bidi="ar"/>
              </w:rPr>
              <w:t>使用月份</w:t>
            </w: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2461AFFE">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服务费（元/月)</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41FC01D2">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使用月数/个</w:t>
            </w: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0CE0E838">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服务费(元/年）</w:t>
            </w:r>
          </w:p>
        </w:tc>
      </w:tr>
      <w:tr w14:paraId="1FE85300">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75D33046">
            <w:pPr>
              <w:widowControl/>
              <w:jc w:val="center"/>
              <w:textAlignment w:val="center"/>
              <w:rPr>
                <w:rFonts w:hint="eastAsia" w:ascii="仿宋" w:hAnsi="仿宋" w:eastAsia="仿宋" w:cs="仿宋"/>
                <w:color w:val="auto"/>
                <w:kern w:val="0"/>
                <w:sz w:val="28"/>
                <w:szCs w:val="28"/>
                <w:lang w:val="en-US" w:eastAsia="zh-CN" w:bidi="ar"/>
              </w:rPr>
            </w:pPr>
          </w:p>
          <w:p w14:paraId="50E424FC">
            <w:pPr>
              <w:widowControl/>
              <w:jc w:val="center"/>
              <w:textAlignment w:val="center"/>
              <w:rPr>
                <w:rFonts w:hint="eastAsia" w:ascii="仿宋" w:hAnsi="仿宋" w:eastAsia="仿宋" w:cs="仿宋"/>
                <w:color w:val="auto"/>
                <w:kern w:val="0"/>
                <w:sz w:val="28"/>
                <w:szCs w:val="28"/>
                <w:lang w:val="en-US" w:eastAsia="zh-CN" w:bidi="ar"/>
              </w:rPr>
            </w:pP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5F0036FB">
            <w:pPr>
              <w:widowControl/>
              <w:jc w:val="center"/>
              <w:textAlignment w:val="center"/>
              <w:rPr>
                <w:rFonts w:hint="eastAsia" w:ascii="仿宋" w:hAnsi="仿宋" w:eastAsia="仿宋" w:cs="仿宋"/>
                <w:color w:val="auto"/>
                <w:kern w:val="0"/>
                <w:sz w:val="28"/>
                <w:szCs w:val="28"/>
                <w:lang w:bidi="ar"/>
              </w:rPr>
            </w:pP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373EEB41">
            <w:pPr>
              <w:widowControl/>
              <w:jc w:val="center"/>
              <w:textAlignment w:val="center"/>
              <w:rPr>
                <w:rFonts w:hint="eastAsia" w:ascii="仿宋" w:hAnsi="仿宋" w:eastAsia="仿宋" w:cs="仿宋"/>
                <w:color w:val="auto"/>
                <w:kern w:val="0"/>
                <w:sz w:val="28"/>
                <w:szCs w:val="28"/>
                <w:lang w:bidi="ar"/>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5BB8A9B5">
            <w:pPr>
              <w:widowControl/>
              <w:jc w:val="center"/>
              <w:textAlignment w:val="center"/>
              <w:rPr>
                <w:rFonts w:hint="eastAsia" w:ascii="仿宋" w:hAnsi="仿宋" w:eastAsia="仿宋" w:cs="仿宋"/>
                <w:color w:val="auto"/>
                <w:kern w:val="0"/>
                <w:sz w:val="28"/>
                <w:szCs w:val="28"/>
                <w:lang w:bidi="ar"/>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1373D064">
            <w:pPr>
              <w:widowControl/>
              <w:jc w:val="center"/>
              <w:textAlignment w:val="center"/>
              <w:rPr>
                <w:rFonts w:hint="eastAsia" w:ascii="仿宋" w:hAnsi="仿宋" w:eastAsia="仿宋" w:cs="仿宋"/>
                <w:color w:val="auto"/>
                <w:kern w:val="0"/>
                <w:sz w:val="28"/>
                <w:szCs w:val="28"/>
                <w:lang w:bidi="ar"/>
              </w:rPr>
            </w:pP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63B31767">
            <w:pPr>
              <w:widowControl/>
              <w:jc w:val="center"/>
              <w:textAlignment w:val="center"/>
              <w:rPr>
                <w:rFonts w:hint="eastAsia" w:ascii="仿宋" w:hAnsi="仿宋" w:eastAsia="仿宋" w:cs="仿宋"/>
                <w:color w:val="auto"/>
                <w:kern w:val="0"/>
                <w:sz w:val="28"/>
                <w:szCs w:val="28"/>
                <w:lang w:bidi="ar"/>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D101358">
            <w:pPr>
              <w:widowControl/>
              <w:jc w:val="center"/>
              <w:textAlignment w:val="center"/>
              <w:rPr>
                <w:rFonts w:hint="eastAsia" w:ascii="仿宋" w:hAnsi="仿宋" w:eastAsia="仿宋" w:cs="仿宋"/>
                <w:color w:val="auto"/>
                <w:kern w:val="0"/>
                <w:sz w:val="28"/>
                <w:szCs w:val="28"/>
                <w:lang w:bidi="ar"/>
              </w:rPr>
            </w:pP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759D24AC">
            <w:pPr>
              <w:widowControl/>
              <w:jc w:val="center"/>
              <w:textAlignment w:val="center"/>
              <w:rPr>
                <w:rFonts w:hint="eastAsia" w:ascii="仿宋" w:hAnsi="仿宋" w:eastAsia="仿宋" w:cs="仿宋"/>
                <w:color w:val="auto"/>
                <w:kern w:val="0"/>
                <w:sz w:val="28"/>
                <w:szCs w:val="28"/>
                <w:lang w:bidi="ar"/>
              </w:rPr>
            </w:pPr>
          </w:p>
        </w:tc>
      </w:tr>
      <w:tr w14:paraId="72AEA278">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702D02B3">
            <w:pPr>
              <w:widowControl/>
              <w:jc w:val="center"/>
              <w:textAlignment w:val="center"/>
              <w:rPr>
                <w:rFonts w:hint="eastAsia" w:ascii="仿宋" w:hAnsi="仿宋" w:eastAsia="仿宋" w:cs="仿宋"/>
                <w:color w:val="auto"/>
                <w:kern w:val="0"/>
                <w:sz w:val="28"/>
                <w:szCs w:val="28"/>
                <w:lang w:val="en-US" w:eastAsia="zh-CN" w:bidi="ar"/>
              </w:rPr>
            </w:pP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12D7C862">
            <w:pPr>
              <w:widowControl/>
              <w:jc w:val="center"/>
              <w:textAlignment w:val="center"/>
              <w:rPr>
                <w:rFonts w:hint="eastAsia" w:ascii="仿宋" w:hAnsi="仿宋" w:eastAsia="仿宋" w:cs="仿宋"/>
                <w:color w:val="auto"/>
                <w:kern w:val="0"/>
                <w:sz w:val="28"/>
                <w:szCs w:val="28"/>
                <w:lang w:bidi="ar"/>
              </w:rPr>
            </w:pP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48534D18">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3C986625">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3A2AA7C7">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703B3801">
            <w:pPr>
              <w:keepNext w:val="0"/>
              <w:keepLines w:val="0"/>
              <w:widowControl/>
              <w:suppressLineNumbers w:val="0"/>
              <w:jc w:val="center"/>
              <w:textAlignment w:val="center"/>
              <w:rPr>
                <w:rFonts w:hint="eastAsia" w:ascii="仿宋" w:hAnsi="仿宋" w:eastAsia="仿宋" w:cs="仿宋"/>
                <w:color w:val="auto"/>
                <w:kern w:val="0"/>
                <w:sz w:val="28"/>
                <w:szCs w:val="28"/>
                <w:lang w:bidi="ar"/>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1448C3F1">
            <w:pPr>
              <w:widowControl/>
              <w:jc w:val="center"/>
              <w:textAlignment w:val="center"/>
              <w:rPr>
                <w:rFonts w:hint="eastAsia" w:ascii="仿宋" w:hAnsi="仿宋" w:eastAsia="仿宋" w:cs="仿宋"/>
                <w:color w:val="auto"/>
                <w:kern w:val="0"/>
                <w:sz w:val="28"/>
                <w:szCs w:val="28"/>
                <w:lang w:bidi="ar"/>
              </w:rPr>
            </w:pP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399F76CE">
            <w:pPr>
              <w:widowControl/>
              <w:jc w:val="center"/>
              <w:textAlignment w:val="center"/>
              <w:rPr>
                <w:rFonts w:hint="eastAsia" w:ascii="仿宋" w:hAnsi="仿宋" w:eastAsia="仿宋" w:cs="仿宋"/>
                <w:color w:val="auto"/>
                <w:kern w:val="0"/>
                <w:sz w:val="28"/>
                <w:szCs w:val="28"/>
                <w:lang w:bidi="ar"/>
              </w:rPr>
            </w:pPr>
          </w:p>
        </w:tc>
      </w:tr>
      <w:tr w14:paraId="757EB8E1">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7D2B7D2E">
            <w:pPr>
              <w:widowControl/>
              <w:jc w:val="center"/>
              <w:textAlignment w:val="center"/>
              <w:rPr>
                <w:rFonts w:hint="eastAsia" w:ascii="仿宋" w:hAnsi="仿宋" w:eastAsia="仿宋" w:cs="仿宋"/>
                <w:color w:val="auto"/>
                <w:kern w:val="0"/>
                <w:sz w:val="28"/>
                <w:szCs w:val="28"/>
                <w:lang w:val="en-US" w:eastAsia="zh-CN" w:bidi="ar"/>
              </w:rPr>
            </w:pP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0691195F">
            <w:pPr>
              <w:widowControl/>
              <w:jc w:val="center"/>
              <w:textAlignment w:val="center"/>
              <w:rPr>
                <w:rFonts w:hint="eastAsia" w:ascii="仿宋" w:hAnsi="仿宋" w:eastAsia="仿宋" w:cs="仿宋"/>
                <w:color w:val="auto"/>
                <w:kern w:val="0"/>
                <w:sz w:val="28"/>
                <w:szCs w:val="28"/>
                <w:lang w:bidi="ar"/>
              </w:rPr>
            </w:pP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609D2C3B">
            <w:pPr>
              <w:widowControl/>
              <w:jc w:val="center"/>
              <w:textAlignment w:val="center"/>
              <w:rPr>
                <w:rFonts w:hint="eastAsia" w:ascii="仿宋" w:hAnsi="仿宋" w:eastAsia="仿宋" w:cs="仿宋"/>
                <w:color w:val="auto"/>
                <w:kern w:val="0"/>
                <w:sz w:val="28"/>
                <w:szCs w:val="28"/>
                <w:lang w:bidi="ar"/>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12317B42">
            <w:pPr>
              <w:widowControl/>
              <w:jc w:val="center"/>
              <w:textAlignment w:val="center"/>
              <w:rPr>
                <w:rFonts w:hint="eastAsia" w:ascii="仿宋" w:hAnsi="仿宋" w:eastAsia="仿宋" w:cs="仿宋"/>
                <w:color w:val="auto"/>
                <w:kern w:val="0"/>
                <w:sz w:val="28"/>
                <w:szCs w:val="28"/>
                <w:lang w:bidi="ar"/>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6AE8716B">
            <w:pPr>
              <w:widowControl/>
              <w:jc w:val="center"/>
              <w:textAlignment w:val="center"/>
              <w:rPr>
                <w:rFonts w:hint="eastAsia" w:ascii="仿宋" w:hAnsi="仿宋" w:eastAsia="仿宋" w:cs="仿宋"/>
                <w:color w:val="auto"/>
                <w:kern w:val="0"/>
                <w:sz w:val="28"/>
                <w:szCs w:val="28"/>
                <w:lang w:bidi="ar"/>
              </w:rPr>
            </w:pP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5E0BE914">
            <w:pPr>
              <w:widowControl/>
              <w:jc w:val="center"/>
              <w:textAlignment w:val="center"/>
              <w:rPr>
                <w:rFonts w:hint="eastAsia" w:ascii="仿宋" w:hAnsi="仿宋" w:eastAsia="仿宋" w:cs="仿宋"/>
                <w:color w:val="auto"/>
                <w:kern w:val="0"/>
                <w:sz w:val="28"/>
                <w:szCs w:val="28"/>
                <w:lang w:bidi="ar"/>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AFB398C">
            <w:pPr>
              <w:widowControl/>
              <w:jc w:val="center"/>
              <w:textAlignment w:val="center"/>
              <w:rPr>
                <w:rFonts w:hint="eastAsia" w:ascii="仿宋" w:hAnsi="仿宋" w:eastAsia="仿宋" w:cs="仿宋"/>
                <w:color w:val="auto"/>
                <w:kern w:val="0"/>
                <w:sz w:val="28"/>
                <w:szCs w:val="28"/>
                <w:lang w:bidi="ar"/>
              </w:rPr>
            </w:pP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5C2BB74D">
            <w:pPr>
              <w:widowControl/>
              <w:jc w:val="center"/>
              <w:textAlignment w:val="center"/>
              <w:rPr>
                <w:rFonts w:hint="eastAsia" w:ascii="仿宋" w:hAnsi="仿宋" w:eastAsia="仿宋" w:cs="仿宋"/>
                <w:color w:val="auto"/>
                <w:kern w:val="0"/>
                <w:sz w:val="28"/>
                <w:szCs w:val="28"/>
                <w:lang w:bidi="ar"/>
              </w:rPr>
            </w:pPr>
          </w:p>
        </w:tc>
      </w:tr>
      <w:tr w14:paraId="41693777">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080928AD">
            <w:pPr>
              <w:widowControl/>
              <w:jc w:val="center"/>
              <w:textAlignment w:val="center"/>
              <w:rPr>
                <w:rFonts w:hint="eastAsia" w:ascii="仿宋" w:hAnsi="仿宋" w:eastAsia="仿宋" w:cs="仿宋"/>
                <w:color w:val="auto"/>
                <w:kern w:val="0"/>
                <w:sz w:val="28"/>
                <w:szCs w:val="28"/>
                <w:lang w:val="en-US" w:eastAsia="zh-CN" w:bidi="ar"/>
              </w:rPr>
            </w:pP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573C963A">
            <w:pPr>
              <w:widowControl/>
              <w:jc w:val="center"/>
              <w:textAlignment w:val="center"/>
              <w:rPr>
                <w:rFonts w:hint="eastAsia" w:ascii="仿宋" w:hAnsi="仿宋" w:eastAsia="仿宋" w:cs="仿宋"/>
                <w:color w:val="auto"/>
                <w:kern w:val="0"/>
                <w:sz w:val="28"/>
                <w:szCs w:val="28"/>
                <w:lang w:bidi="ar"/>
              </w:rPr>
            </w:pP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0C780F31">
            <w:pPr>
              <w:widowControl/>
              <w:jc w:val="center"/>
              <w:textAlignment w:val="center"/>
              <w:rPr>
                <w:rFonts w:hint="eastAsia" w:ascii="仿宋" w:hAnsi="仿宋" w:eastAsia="仿宋" w:cs="仿宋"/>
                <w:color w:val="auto"/>
                <w:kern w:val="0"/>
                <w:sz w:val="28"/>
                <w:szCs w:val="28"/>
                <w:lang w:bidi="ar"/>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1520BF16">
            <w:pPr>
              <w:widowControl/>
              <w:jc w:val="center"/>
              <w:textAlignment w:val="center"/>
              <w:rPr>
                <w:rFonts w:hint="eastAsia" w:ascii="仿宋" w:hAnsi="仿宋" w:eastAsia="仿宋" w:cs="仿宋"/>
                <w:color w:val="auto"/>
                <w:kern w:val="0"/>
                <w:sz w:val="28"/>
                <w:szCs w:val="28"/>
                <w:lang w:bidi="ar"/>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50B3D846">
            <w:pPr>
              <w:widowControl/>
              <w:jc w:val="center"/>
              <w:textAlignment w:val="center"/>
              <w:rPr>
                <w:rFonts w:hint="eastAsia" w:ascii="仿宋" w:hAnsi="仿宋" w:eastAsia="仿宋" w:cs="仿宋"/>
                <w:color w:val="auto"/>
                <w:kern w:val="0"/>
                <w:sz w:val="28"/>
                <w:szCs w:val="28"/>
                <w:lang w:bidi="ar"/>
              </w:rPr>
            </w:pP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02E1B273">
            <w:pPr>
              <w:widowControl/>
              <w:jc w:val="center"/>
              <w:textAlignment w:val="center"/>
              <w:rPr>
                <w:rFonts w:hint="eastAsia" w:ascii="仿宋" w:hAnsi="仿宋" w:eastAsia="仿宋" w:cs="仿宋"/>
                <w:color w:val="auto"/>
                <w:kern w:val="0"/>
                <w:sz w:val="28"/>
                <w:szCs w:val="28"/>
                <w:lang w:bidi="ar"/>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24502EC8">
            <w:pPr>
              <w:widowControl/>
              <w:jc w:val="center"/>
              <w:textAlignment w:val="center"/>
              <w:rPr>
                <w:rFonts w:hint="eastAsia" w:ascii="仿宋" w:hAnsi="仿宋" w:eastAsia="仿宋" w:cs="仿宋"/>
                <w:color w:val="auto"/>
                <w:kern w:val="0"/>
                <w:sz w:val="28"/>
                <w:szCs w:val="28"/>
                <w:lang w:bidi="ar"/>
              </w:rPr>
            </w:pP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6A969163">
            <w:pPr>
              <w:widowControl/>
              <w:jc w:val="center"/>
              <w:textAlignment w:val="center"/>
              <w:rPr>
                <w:rFonts w:hint="eastAsia" w:ascii="仿宋" w:hAnsi="仿宋" w:eastAsia="仿宋" w:cs="仿宋"/>
                <w:color w:val="auto"/>
                <w:kern w:val="0"/>
                <w:sz w:val="28"/>
                <w:szCs w:val="28"/>
                <w:lang w:bidi="ar"/>
              </w:rPr>
            </w:pPr>
          </w:p>
        </w:tc>
      </w:tr>
      <w:tr w14:paraId="0AA839B9">
        <w:tblPrEx>
          <w:tblCellMar>
            <w:top w:w="15" w:type="dxa"/>
            <w:left w:w="15" w:type="dxa"/>
            <w:bottom w:w="15" w:type="dxa"/>
            <w:right w:w="15" w:type="dxa"/>
          </w:tblCellMar>
        </w:tblPrEx>
        <w:trPr>
          <w:trHeight w:val="1198" w:hRule="atLeast"/>
        </w:trPr>
        <w:tc>
          <w:tcPr>
            <w:tcW w:w="1378" w:type="dxa"/>
            <w:tcBorders>
              <w:top w:val="single" w:color="000000" w:sz="4" w:space="0"/>
              <w:left w:val="single" w:color="000000" w:sz="4" w:space="0"/>
              <w:bottom w:val="single" w:color="000000" w:sz="4" w:space="0"/>
              <w:right w:val="single" w:color="000000" w:sz="4" w:space="0"/>
            </w:tcBorders>
            <w:noWrap w:val="0"/>
            <w:vAlign w:val="center"/>
          </w:tcPr>
          <w:p w14:paraId="51B32A5E">
            <w:pPr>
              <w:widowControl/>
              <w:jc w:val="center"/>
              <w:textAlignment w:val="center"/>
              <w:rPr>
                <w:rFonts w:hint="eastAsia" w:ascii="仿宋" w:hAnsi="仿宋" w:eastAsia="仿宋" w:cs="仿宋"/>
                <w:color w:val="auto"/>
                <w:kern w:val="0"/>
                <w:sz w:val="28"/>
                <w:szCs w:val="28"/>
                <w:lang w:val="en-US" w:eastAsia="zh-CN" w:bidi="ar"/>
              </w:rPr>
            </w:pPr>
          </w:p>
        </w:tc>
        <w:tc>
          <w:tcPr>
            <w:tcW w:w="1181" w:type="dxa"/>
            <w:tcBorders>
              <w:top w:val="single" w:color="000000" w:sz="4" w:space="0"/>
              <w:left w:val="single" w:color="000000" w:sz="4" w:space="0"/>
              <w:bottom w:val="single" w:color="000000" w:sz="4" w:space="0"/>
              <w:right w:val="single" w:color="000000" w:sz="4" w:space="0"/>
            </w:tcBorders>
            <w:noWrap w:val="0"/>
            <w:vAlign w:val="center"/>
          </w:tcPr>
          <w:p w14:paraId="31995B73">
            <w:pPr>
              <w:widowControl/>
              <w:jc w:val="center"/>
              <w:textAlignment w:val="center"/>
              <w:rPr>
                <w:rFonts w:hint="eastAsia" w:ascii="仿宋" w:hAnsi="仿宋" w:eastAsia="仿宋" w:cs="仿宋"/>
                <w:color w:val="auto"/>
                <w:kern w:val="0"/>
                <w:sz w:val="28"/>
                <w:szCs w:val="28"/>
                <w:lang w:bidi="ar"/>
              </w:rPr>
            </w:pPr>
          </w:p>
        </w:tc>
        <w:tc>
          <w:tcPr>
            <w:tcW w:w="1169" w:type="dxa"/>
            <w:tcBorders>
              <w:top w:val="single" w:color="000000" w:sz="4" w:space="0"/>
              <w:left w:val="single" w:color="000000" w:sz="4" w:space="0"/>
              <w:bottom w:val="single" w:color="000000" w:sz="4" w:space="0"/>
              <w:right w:val="single" w:color="000000" w:sz="4" w:space="0"/>
            </w:tcBorders>
            <w:noWrap w:val="0"/>
            <w:vAlign w:val="center"/>
          </w:tcPr>
          <w:p w14:paraId="5436C2C7">
            <w:pPr>
              <w:widowControl/>
              <w:jc w:val="center"/>
              <w:textAlignment w:val="center"/>
              <w:rPr>
                <w:rFonts w:hint="eastAsia" w:ascii="仿宋" w:hAnsi="仿宋" w:eastAsia="仿宋" w:cs="仿宋"/>
                <w:color w:val="auto"/>
                <w:kern w:val="0"/>
                <w:sz w:val="28"/>
                <w:szCs w:val="28"/>
                <w:lang w:bidi="ar"/>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14:paraId="25138077">
            <w:pPr>
              <w:widowControl/>
              <w:jc w:val="center"/>
              <w:textAlignment w:val="center"/>
              <w:rPr>
                <w:rFonts w:hint="eastAsia" w:ascii="仿宋" w:hAnsi="仿宋" w:eastAsia="仿宋" w:cs="仿宋"/>
                <w:color w:val="auto"/>
                <w:kern w:val="0"/>
                <w:sz w:val="28"/>
                <w:szCs w:val="28"/>
                <w:lang w:bidi="ar"/>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14:paraId="5D600082">
            <w:pPr>
              <w:widowControl/>
              <w:jc w:val="center"/>
              <w:textAlignment w:val="center"/>
              <w:rPr>
                <w:rFonts w:hint="eastAsia" w:ascii="仿宋" w:hAnsi="仿宋" w:eastAsia="仿宋" w:cs="仿宋"/>
                <w:color w:val="auto"/>
                <w:kern w:val="0"/>
                <w:sz w:val="28"/>
                <w:szCs w:val="28"/>
                <w:lang w:bidi="ar"/>
              </w:rPr>
            </w:pPr>
          </w:p>
        </w:tc>
        <w:tc>
          <w:tcPr>
            <w:tcW w:w="1191" w:type="dxa"/>
            <w:tcBorders>
              <w:top w:val="single" w:color="000000" w:sz="4" w:space="0"/>
              <w:left w:val="single" w:color="000000" w:sz="4" w:space="0"/>
              <w:bottom w:val="single" w:color="000000" w:sz="4" w:space="0"/>
              <w:right w:val="single" w:color="000000" w:sz="4" w:space="0"/>
            </w:tcBorders>
            <w:noWrap w:val="0"/>
            <w:vAlign w:val="center"/>
          </w:tcPr>
          <w:p w14:paraId="13B33BA7">
            <w:pPr>
              <w:widowControl/>
              <w:jc w:val="center"/>
              <w:textAlignment w:val="center"/>
              <w:rPr>
                <w:rFonts w:hint="eastAsia" w:ascii="仿宋" w:hAnsi="仿宋" w:eastAsia="仿宋" w:cs="仿宋"/>
                <w:color w:val="auto"/>
                <w:kern w:val="0"/>
                <w:sz w:val="28"/>
                <w:szCs w:val="28"/>
                <w:lang w:bidi="ar"/>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14:paraId="0887B529">
            <w:pPr>
              <w:widowControl/>
              <w:jc w:val="center"/>
              <w:textAlignment w:val="center"/>
              <w:rPr>
                <w:rFonts w:hint="eastAsia" w:ascii="仿宋" w:hAnsi="仿宋" w:eastAsia="仿宋" w:cs="仿宋"/>
                <w:color w:val="auto"/>
                <w:kern w:val="0"/>
                <w:sz w:val="28"/>
                <w:szCs w:val="28"/>
                <w:lang w:bidi="ar"/>
              </w:rPr>
            </w:pPr>
          </w:p>
        </w:tc>
        <w:tc>
          <w:tcPr>
            <w:tcW w:w="1407" w:type="dxa"/>
            <w:tcBorders>
              <w:top w:val="single" w:color="000000" w:sz="4" w:space="0"/>
              <w:left w:val="single" w:color="000000" w:sz="4" w:space="0"/>
              <w:bottom w:val="single" w:color="000000" w:sz="4" w:space="0"/>
              <w:right w:val="single" w:color="000000" w:sz="4" w:space="0"/>
            </w:tcBorders>
            <w:noWrap w:val="0"/>
            <w:vAlign w:val="center"/>
          </w:tcPr>
          <w:p w14:paraId="121EE7B8">
            <w:pPr>
              <w:widowControl/>
              <w:jc w:val="center"/>
              <w:textAlignment w:val="center"/>
              <w:rPr>
                <w:rFonts w:hint="eastAsia" w:ascii="仿宋" w:hAnsi="仿宋" w:eastAsia="仿宋" w:cs="仿宋"/>
                <w:color w:val="auto"/>
                <w:kern w:val="0"/>
                <w:sz w:val="28"/>
                <w:szCs w:val="28"/>
                <w:lang w:bidi="ar"/>
              </w:rPr>
            </w:pPr>
          </w:p>
        </w:tc>
      </w:tr>
      <w:tr w14:paraId="3A8FFB96">
        <w:tblPrEx>
          <w:tblCellMar>
            <w:top w:w="15" w:type="dxa"/>
            <w:left w:w="15" w:type="dxa"/>
            <w:bottom w:w="15" w:type="dxa"/>
            <w:right w:w="15" w:type="dxa"/>
          </w:tblCellMar>
        </w:tblPrEx>
        <w:trPr>
          <w:trHeight w:val="1079" w:hRule="atLeast"/>
        </w:trPr>
        <w:tc>
          <w:tcPr>
            <w:tcW w:w="9857" w:type="dxa"/>
            <w:gridSpan w:val="8"/>
            <w:tcBorders>
              <w:top w:val="single" w:color="000000" w:sz="4" w:space="0"/>
              <w:left w:val="single" w:color="000000" w:sz="4" w:space="0"/>
              <w:bottom w:val="single" w:color="000000" w:sz="4" w:space="0"/>
              <w:right w:val="single" w:color="000000" w:sz="4" w:space="0"/>
            </w:tcBorders>
            <w:noWrap w:val="0"/>
            <w:vAlign w:val="center"/>
          </w:tcPr>
          <w:p w14:paraId="14316361">
            <w:pPr>
              <w:widowControl/>
              <w:jc w:val="center"/>
              <w:textAlignment w:val="center"/>
              <w:rPr>
                <w:rFonts w:hint="eastAsia" w:ascii="仿宋" w:hAnsi="仿宋" w:eastAsia="仿宋" w:cs="仿宋"/>
                <w:color w:val="auto"/>
                <w:sz w:val="28"/>
                <w:szCs w:val="28"/>
              </w:rPr>
            </w:pPr>
            <w:r>
              <w:rPr>
                <w:rFonts w:hint="eastAsia" w:ascii="仿宋" w:hAnsi="仿宋" w:eastAsia="仿宋" w:cs="仿宋"/>
                <w:color w:val="auto"/>
                <w:kern w:val="0"/>
                <w:sz w:val="28"/>
                <w:szCs w:val="28"/>
                <w:lang w:bidi="ar"/>
              </w:rPr>
              <w:t>合计金额：</w:t>
            </w:r>
            <w:r>
              <w:rPr>
                <w:rFonts w:hint="eastAsia" w:ascii="仿宋" w:hAnsi="仿宋" w:eastAsia="仿宋" w:cs="仿宋"/>
                <w:color w:val="auto"/>
                <w:kern w:val="0"/>
                <w:sz w:val="28"/>
                <w:szCs w:val="28"/>
                <w:lang w:val="en-US" w:eastAsia="zh-CN" w:bidi="ar"/>
              </w:rPr>
              <w:t xml:space="preserve">         </w:t>
            </w:r>
            <w:r>
              <w:rPr>
                <w:rFonts w:hint="eastAsia" w:ascii="仿宋" w:hAnsi="仿宋" w:eastAsia="仿宋" w:cs="仿宋"/>
                <w:color w:val="auto"/>
                <w:kern w:val="0"/>
                <w:sz w:val="28"/>
                <w:szCs w:val="28"/>
                <w:lang w:bidi="ar"/>
              </w:rPr>
              <w:t>元/年</w:t>
            </w:r>
          </w:p>
        </w:tc>
      </w:tr>
    </w:tbl>
    <w:p w14:paraId="0DB35E5D">
      <w:pPr>
        <w:rPr>
          <w:rFonts w:hint="eastAsia" w:ascii="仿宋" w:hAnsi="仿宋" w:eastAsia="仿宋" w:cs="仿宋"/>
          <w:b/>
          <w:bCs/>
          <w:color w:val="auto"/>
          <w:sz w:val="28"/>
          <w:szCs w:val="28"/>
          <w:highlight w:val="none"/>
        </w:rPr>
      </w:pPr>
    </w:p>
    <w:p w14:paraId="6E0D44B3">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67DBEC86">
      <w:pPr>
        <w:pStyle w:val="11"/>
        <w:rPr>
          <w:rFonts w:hint="eastAsia" w:ascii="仿宋" w:hAnsi="仿宋" w:eastAsia="仿宋" w:cs="仿宋"/>
          <w:color w:val="auto"/>
          <w:lang w:val="en-US" w:eastAsia="zh-Hans"/>
        </w:rPr>
      </w:pPr>
      <w:r>
        <w:rPr>
          <w:rFonts w:hint="eastAsia" w:ascii="仿宋" w:hAnsi="仿宋" w:eastAsia="仿宋" w:cs="仿宋"/>
          <w:b/>
          <w:bCs/>
          <w:color w:val="auto"/>
          <w:sz w:val="28"/>
          <w:szCs w:val="28"/>
          <w:highlight w:val="none"/>
        </w:rPr>
        <w:t xml:space="preserve"> </w:t>
      </w:r>
      <w:r>
        <w:rPr>
          <w:rFonts w:hint="eastAsia" w:ascii="仿宋" w:hAnsi="仿宋" w:eastAsia="仿宋" w:cs="仿宋"/>
          <w:b/>
          <w:bCs/>
          <w:color w:val="auto"/>
          <w:sz w:val="28"/>
          <w:szCs w:val="28"/>
          <w:highlight w:val="none"/>
          <w:lang w:val="en-US" w:eastAsia="zh-CN"/>
        </w:rPr>
        <w:t>附件2：</w:t>
      </w:r>
    </w:p>
    <w:p w14:paraId="78965DFC">
      <w:pPr>
        <w:spacing w:line="360" w:lineRule="auto"/>
        <w:ind w:firstLine="562" w:firstLineChars="200"/>
        <w:jc w:val="center"/>
        <w:rPr>
          <w:rFonts w:hint="eastAsia" w:ascii="仿宋" w:hAnsi="仿宋" w:eastAsia="仿宋" w:cs="Lucida Sans Unicode"/>
          <w:b/>
          <w:bCs/>
          <w:color w:val="auto"/>
          <w:sz w:val="28"/>
          <w:szCs w:val="28"/>
          <w:highlight w:val="none"/>
          <w:lang w:eastAsia="zh-CN"/>
        </w:rPr>
      </w:pPr>
      <w:r>
        <w:rPr>
          <w:rFonts w:hint="eastAsia" w:ascii="仿宋" w:hAnsi="仿宋" w:eastAsia="仿宋" w:cs="Lucida Sans Unicode"/>
          <w:b/>
          <w:bCs/>
          <w:color w:val="auto"/>
          <w:sz w:val="28"/>
          <w:szCs w:val="28"/>
          <w:highlight w:val="none"/>
          <w:lang w:eastAsia="zh-CN"/>
        </w:rPr>
        <w:t>网络信息安全承诺书</w:t>
      </w:r>
    </w:p>
    <w:p w14:paraId="7A32AE57">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本单位郑重承诺遵守本承诺书的有关条款，如有违反本承诺书有关条款的行为，本单位承担由此带来的一切民事、行政和刑事责任。</w:t>
      </w:r>
    </w:p>
    <w:p w14:paraId="37888D82">
      <w:pPr>
        <w:numPr>
          <w:ilvl w:val="0"/>
          <w:numId w:val="1"/>
        </w:num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本单位承诺遵守《中华人民共和国计算机信息系统安全保护条例》和《计算机信息网络国际联网安全保护管理办法》及有关法律、法规和行政规章制度、文件规定。</w:t>
      </w:r>
    </w:p>
    <w:p w14:paraId="449F60DB">
      <w:pPr>
        <w:numPr>
          <w:ilvl w:val="-1"/>
          <w:numId w:val="0"/>
        </w:num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二、本单位保证不利用网络危害国家安全、泄露国家秘密，不侵犯国家的、社会的、集体的利益和第三方的合法权益，不从事违法犯罪活动。</w:t>
      </w:r>
    </w:p>
    <w:p w14:paraId="66717241">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三、本单位承诺严格按照国家相关法律法规做好本单位网站的信息安全管理工作，按政府有关部门要求设立信息安全责任人和信息安全审查员，信息安全责任人和信息安全审查员应在通过公安机关的安全技术培训后，持证上岗。</w:t>
      </w:r>
    </w:p>
    <w:p w14:paraId="4FF855E2">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四、本单位承诺健全各项网络安全管理制度和落实各项安全保护技术措施。</w:t>
      </w:r>
    </w:p>
    <w:p w14:paraId="2F04FC53">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五、本单位承诺接受公安机关的监督和检查,如实主动提供有关安全保护的信息、资料及数据文件，积极协助查处通过国际联网的计算机信息网络违法犯罪行为。</w:t>
      </w:r>
    </w:p>
    <w:p w14:paraId="32A6043F">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六、本单位承诺不通过互联网制作、复制、查阅和传播下列信息:</w:t>
      </w:r>
    </w:p>
    <w:p w14:paraId="1CB2D7C8">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1.反对宪法所确定的基本原则的。</w:t>
      </w:r>
    </w:p>
    <w:p w14:paraId="3F88C07D">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2.危害国家安全，泄露国家秘密，颠覆国家政权，破坏国家统一的。</w:t>
      </w:r>
    </w:p>
    <w:p w14:paraId="3262FF9B">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3.损害国家荣誉和利益的。</w:t>
      </w:r>
    </w:p>
    <w:p w14:paraId="56728CC8">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4.煽动民族仇恨、民族歧视，破坏民族团结的。</w:t>
      </w:r>
    </w:p>
    <w:p w14:paraId="406D4A04">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5.破坏国家宗教政策，宣扬邪教和封建迷信的。</w:t>
      </w:r>
    </w:p>
    <w:p w14:paraId="5151FAE1">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6.散</w:t>
      </w:r>
      <w:r>
        <w:rPr>
          <w:rFonts w:hint="eastAsia" w:ascii="仿宋" w:hAnsi="仿宋" w:eastAsia="仿宋" w:cs="Lucida Sans Unicode"/>
          <w:color w:val="auto"/>
          <w:sz w:val="28"/>
          <w:szCs w:val="28"/>
          <w:highlight w:val="none"/>
          <w:lang w:val="en-US" w:eastAsia="zh-CN"/>
        </w:rPr>
        <w:t>布谣言</w:t>
      </w:r>
      <w:r>
        <w:rPr>
          <w:rFonts w:hint="eastAsia" w:ascii="仿宋" w:hAnsi="仿宋" w:eastAsia="仿宋" w:cs="Lucida Sans Unicode"/>
          <w:color w:val="auto"/>
          <w:sz w:val="28"/>
          <w:szCs w:val="28"/>
          <w:highlight w:val="none"/>
          <w:lang w:eastAsia="zh-CN"/>
        </w:rPr>
        <w:t>，扰乱社会秩序，破坏社会稳定的。</w:t>
      </w:r>
    </w:p>
    <w:p w14:paraId="549E291A">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7.散布淫秽、色情、赌博、暴力、凶杀、恐怖或者教唆犯罪的。</w:t>
      </w:r>
    </w:p>
    <w:p w14:paraId="3F336A99">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8.侮辱或者诽谤他人，侵害他人合法权益的。</w:t>
      </w:r>
    </w:p>
    <w:p w14:paraId="232A6A61">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9.含有法律法规禁止的其他内容的。</w:t>
      </w:r>
    </w:p>
    <w:p w14:paraId="1D34D182">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七、本单位承诺不从事任何危害计算机信息网络安全的活动，包括但不限于:</w:t>
      </w:r>
    </w:p>
    <w:p w14:paraId="353E8760">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1.未经允许，进入计算机信息网络或者使用计算机信息网络资源的。</w:t>
      </w:r>
    </w:p>
    <w:p w14:paraId="1F6C30E2">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2.未经允许，对计算机信息网络功能进行删除、修改或者增加的。</w:t>
      </w:r>
    </w:p>
    <w:p w14:paraId="2D823BDB">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3.未经允许，对计算机信息网络中存储或者传输的数据和应用程序进行删除、修改或者增加的。</w:t>
      </w:r>
    </w:p>
    <w:p w14:paraId="524D3812">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4.故意制作、传播计算机病毒等破坏性程序的。</w:t>
      </w:r>
    </w:p>
    <w:p w14:paraId="3427C9B7">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5.其他危害计算机信息网络安全的。</w:t>
      </w:r>
    </w:p>
    <w:p w14:paraId="58D5DA15">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八、本单位承诺，当计算机信息系统发生重大安全事故时，立即采取应急措施，保留有关原始记录，并在24小时内向政府监管部门报告，并书面知会贵单位。</w:t>
      </w:r>
    </w:p>
    <w:p w14:paraId="1B462996">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九、若违反本承诺书有关条款和国家相关法律法规的，本单位直接承担相应法律责任，造成财产损失的，由本单位直接赔偿。同时，贵单位有权暂停提供服务直至解除双方间《通信合作协议》。</w:t>
      </w:r>
    </w:p>
    <w:p w14:paraId="7DB83760">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十、用户承诺与最终用户参照签订此类《网络信息安全承诺书》，并督促最终用户履行相应责任，否则，用户承担连带责任。</w:t>
      </w:r>
    </w:p>
    <w:p w14:paraId="22E5DEBE">
      <w:pPr>
        <w:spacing w:line="360" w:lineRule="auto"/>
        <w:ind w:firstLine="560" w:firstLineChars="200"/>
        <w:rPr>
          <w:rFonts w:hint="eastAsia" w:ascii="仿宋" w:hAnsi="仿宋" w:eastAsia="仿宋" w:cs="Lucida Sans Unicode"/>
          <w:color w:val="auto"/>
          <w:sz w:val="28"/>
          <w:szCs w:val="28"/>
          <w:highlight w:val="none"/>
          <w:lang w:eastAsia="zh-CN"/>
        </w:rPr>
      </w:pPr>
      <w:r>
        <w:rPr>
          <w:rFonts w:hint="eastAsia" w:ascii="仿宋" w:hAnsi="仿宋" w:eastAsia="仿宋" w:cs="Lucida Sans Unicode"/>
          <w:color w:val="auto"/>
          <w:sz w:val="28"/>
          <w:szCs w:val="28"/>
          <w:highlight w:val="none"/>
          <w:lang w:eastAsia="zh-CN"/>
        </w:rPr>
        <w:t>十一、本承诺书自签署之日起生效并遵行。</w:t>
      </w:r>
    </w:p>
    <w:p w14:paraId="6FAB5BE8">
      <w:pPr>
        <w:spacing w:line="360" w:lineRule="auto"/>
        <w:ind w:firstLine="560" w:firstLineChars="200"/>
        <w:rPr>
          <w:rFonts w:hint="eastAsia" w:ascii="仿宋" w:hAnsi="仿宋" w:eastAsia="仿宋" w:cs="Lucida Sans Unicode"/>
          <w:color w:val="auto"/>
          <w:sz w:val="28"/>
          <w:szCs w:val="28"/>
          <w:highlight w:val="none"/>
          <w:lang w:eastAsia="zh-CN"/>
        </w:rPr>
      </w:pPr>
    </w:p>
    <w:p w14:paraId="02150BBE">
      <w:pPr>
        <w:spacing w:line="360" w:lineRule="auto"/>
        <w:ind w:firstLine="560" w:firstLineChars="200"/>
        <w:rPr>
          <w:rFonts w:hint="eastAsia" w:ascii="仿宋" w:hAnsi="仿宋" w:eastAsia="仿宋" w:cs="Lucida Sans Unicode"/>
          <w:color w:val="auto"/>
          <w:sz w:val="28"/>
          <w:szCs w:val="28"/>
          <w:highlight w:val="none"/>
          <w:lang w:eastAsia="zh-CN"/>
        </w:rPr>
      </w:pPr>
    </w:p>
    <w:p w14:paraId="5F055D2D">
      <w:pPr>
        <w:spacing w:line="360" w:lineRule="auto"/>
        <w:ind w:firstLine="560" w:firstLineChars="200"/>
        <w:rPr>
          <w:rFonts w:hint="eastAsia" w:ascii="仿宋" w:hAnsi="仿宋" w:eastAsia="仿宋" w:cs="Lucida Sans Unicode"/>
          <w:color w:val="auto"/>
          <w:sz w:val="28"/>
          <w:szCs w:val="28"/>
          <w:highlight w:val="none"/>
          <w:lang w:eastAsia="zh-CN"/>
        </w:rPr>
      </w:pPr>
    </w:p>
    <w:p w14:paraId="7DDC96AB">
      <w:pPr>
        <w:spacing w:line="360" w:lineRule="auto"/>
        <w:ind w:firstLine="602" w:firstLineChars="200"/>
        <w:jc w:val="right"/>
        <w:rPr>
          <w:rFonts w:hint="eastAsia" w:ascii="仿宋" w:hAnsi="仿宋" w:eastAsia="仿宋" w:cs="宋体"/>
          <w:b/>
          <w:bCs/>
          <w:color w:val="auto"/>
          <w:spacing w:val="10"/>
          <w:sz w:val="28"/>
          <w:szCs w:val="28"/>
          <w:highlight w:val="none"/>
          <w:lang w:eastAsia="zh-CN"/>
        </w:rPr>
      </w:pPr>
      <w:r>
        <w:rPr>
          <w:rFonts w:hint="eastAsia" w:ascii="仿宋" w:hAnsi="仿宋" w:eastAsia="仿宋" w:cs="宋体"/>
          <w:b/>
          <w:bCs/>
          <w:color w:val="auto"/>
          <w:spacing w:val="10"/>
          <w:sz w:val="28"/>
          <w:szCs w:val="28"/>
          <w:highlight w:val="none"/>
          <w:lang w:eastAsia="zh-CN"/>
        </w:rPr>
        <w:t>西安高新综合保税区发展中心</w:t>
      </w:r>
    </w:p>
    <w:p w14:paraId="07A0CD32">
      <w:pPr>
        <w:spacing w:line="360" w:lineRule="auto"/>
        <w:ind w:firstLine="602" w:firstLineChars="200"/>
        <w:jc w:val="right"/>
        <w:rPr>
          <w:rFonts w:hint="eastAsia" w:ascii="仿宋" w:hAnsi="仿宋" w:eastAsia="仿宋" w:cs="宋体"/>
          <w:b/>
          <w:bCs/>
          <w:color w:val="auto"/>
          <w:spacing w:val="10"/>
          <w:sz w:val="28"/>
          <w:szCs w:val="28"/>
          <w:highlight w:val="none"/>
          <w:lang w:eastAsia="zh-CN"/>
        </w:rPr>
      </w:pPr>
    </w:p>
    <w:p w14:paraId="58F9EE05"/>
    <w:sectPr>
      <w:pgSz w:w="11900" w:h="16840"/>
      <w:pgMar w:top="1134" w:right="1134" w:bottom="1134" w:left="1134"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1B1E4A"/>
    <w:multiLevelType w:val="singleLevel"/>
    <w:tmpl w:val="BE1B1E4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3376D"/>
    <w:rsid w:val="1D43376D"/>
    <w:rsid w:val="296F0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Block Text"/>
    <w:basedOn w:val="1"/>
    <w:next w:val="5"/>
    <w:qFormat/>
    <w:uiPriority w:val="0"/>
    <w:pPr>
      <w:spacing w:after="120"/>
      <w:ind w:left="1440" w:leftChars="700" w:right="700" w:rightChars="700"/>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styleId="7">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4508</Words>
  <Characters>4590</Characters>
  <Lines>0</Lines>
  <Paragraphs>0</Paragraphs>
  <TotalTime>0</TotalTime>
  <ScaleCrop>false</ScaleCrop>
  <LinksUpToDate>false</LinksUpToDate>
  <CharactersWithSpaces>4750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2025-08-28T06:56:00Z</dcterms:created>
  <dc:creator>七安</dc:creator>
  <cp:lastModifiedBy>七安</cp:lastModifiedBy>
  <dcterms:modified xsi:type="dcterms:W3CDTF">2025-08-28T08:33:42Z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A08FE56EF7F644A38F5D13316C0BA58A_11</vt:lpwstr>
  </property>
  <property fmtid="{D5CDD505-2E9C-101B-9397-08002B2CF9AE}" pid="4" name="KSOTemplateDocerSaveRecord">
    <vt:lpwstr>eyJoZGlkIjoiYTNjODljY2I4NDIwMDBiNmUwYjUxZTZlNmE1NzJmOTgiLCJ1c2VySWQiOiI2ODY0MTEyNzMifQ==</vt:lpwstr>
  </property>
</Properties>
</file>