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版本号：XACH2025-101、XDZ2025-283-N-18620250828001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2025年特殊监管区支撑机构网络专线服务项目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XACH2025-101、XDZ2025-283-N-186</w:t>
      </w:r>
      <w:r>
        <w:br/>
      </w:r>
      <w:r>
        <w:br/>
      </w:r>
      <w:r>
        <w:br/>
      </w:r>
    </w:p>
    <w:p>
      <w:pPr>
        <w:pStyle w:val="null3"/>
        <w:jc w:val="center"/>
        <w:outlineLvl w:val="2"/>
      </w:pPr>
      <w:r>
        <w:rPr>
          <w:rFonts w:ascii="仿宋_GB2312" w:hAnsi="仿宋_GB2312" w:cs="仿宋_GB2312" w:eastAsia="仿宋_GB2312"/>
          <w:sz w:val="28"/>
          <w:b/>
        </w:rPr>
        <w:t>西安高新综合保税区发展中心</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西安高新综合保税区发展中心</w:t>
      </w:r>
      <w:r>
        <w:rPr>
          <w:rFonts w:ascii="仿宋_GB2312" w:hAnsi="仿宋_GB2312" w:cs="仿宋_GB2312" w:eastAsia="仿宋_GB2312"/>
        </w:rPr>
        <w:t>委托，拟对</w:t>
      </w:r>
      <w:r>
        <w:rPr>
          <w:rFonts w:ascii="仿宋_GB2312" w:hAnsi="仿宋_GB2312" w:cs="仿宋_GB2312" w:eastAsia="仿宋_GB2312"/>
        </w:rPr>
        <w:t>2025年特殊监管区支撑机构网络专线服务项目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XACH2025-101、XDZ2025-283-N-186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2025年特殊监管区支撑机构网络专线服务项目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根据2025年西安高新综合保税区及关中综保区B区的业务需求，现对高新综保区驻区机构海关及公安出入境网络链路服务进行采购。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西安高新综合保税区发展中心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西安市通海一路5号高新综保区通关服务中心18楼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张一超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029-88600602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西安高新综合保税区发展中心</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西安高新综合保税区发展中心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西安高新综合保税区发展中心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达到竞争性磋商文件及国家规定的“合格”标准。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联系电话：029-82285837、029-81151155转810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根据2025年西安高新综合保税区及关中综保区B区的业务需求，现对高新综保区驻区机构海关及公安出入境网络链路服务进行采购。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2025年特殊监管区支撑机构网络专线服务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标的名称：2025年特殊监管区支撑机构网络专线服务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8"/>
              </w:rPr>
              <w:t>根据西安高新综合保税区及关中综保区</w:t>
            </w:r>
            <w:r>
              <w:rPr>
                <w:rFonts w:ascii="仿宋_GB2312" w:hAnsi="仿宋_GB2312" w:cs="仿宋_GB2312" w:eastAsia="仿宋_GB2312"/>
                <w:sz w:val="28"/>
              </w:rPr>
              <w:t>B区的业务需求，现对</w:t>
            </w:r>
            <w:r>
              <w:rPr>
                <w:rFonts w:ascii="仿宋_GB2312" w:hAnsi="仿宋_GB2312" w:cs="仿宋_GB2312" w:eastAsia="仿宋_GB2312"/>
                <w:sz w:val="28"/>
              </w:rPr>
              <w:t>2025年</w:t>
            </w:r>
            <w:r>
              <w:rPr>
                <w:rFonts w:ascii="仿宋_GB2312" w:hAnsi="仿宋_GB2312" w:cs="仿宋_GB2312" w:eastAsia="仿宋_GB2312"/>
                <w:sz w:val="28"/>
              </w:rPr>
              <w:t>高新综保区驻区机构海关及公安出入境网络链路服务进行采购。</w:t>
            </w:r>
          </w:p>
          <w:p>
            <w:pPr>
              <w:pStyle w:val="null3"/>
              <w:jc w:val="both"/>
            </w:pPr>
            <w:r>
              <w:rPr>
                <w:rFonts w:ascii="仿宋_GB2312" w:hAnsi="仿宋_GB2312" w:cs="仿宋_GB2312" w:eastAsia="仿宋_GB2312"/>
                <w:sz w:val="28"/>
                <w:b/>
              </w:rPr>
              <w:t>二、服务地点：采购人指定地点</w:t>
            </w:r>
          </w:p>
          <w:p>
            <w:pPr>
              <w:pStyle w:val="null3"/>
              <w:jc w:val="both"/>
            </w:pPr>
            <w:r>
              <w:rPr>
                <w:rFonts w:ascii="仿宋_GB2312" w:hAnsi="仿宋_GB2312" w:cs="仿宋_GB2312" w:eastAsia="仿宋_GB2312"/>
                <w:sz w:val="28"/>
              </w:rPr>
              <w:t>三、服务内容：</w:t>
            </w:r>
          </w:p>
          <w:p>
            <w:pPr>
              <w:pStyle w:val="null3"/>
              <w:jc w:val="both"/>
            </w:pPr>
            <w:r>
              <w:rPr>
                <w:rFonts w:ascii="仿宋_GB2312" w:hAnsi="仿宋_GB2312" w:cs="仿宋_GB2312" w:eastAsia="仿宋_GB2312"/>
                <w:sz w:val="28"/>
              </w:rPr>
              <w:t>（一）通信要求</w:t>
            </w:r>
          </w:p>
          <w:tbl>
            <w:tblPr>
              <w:tblInd w:type="dxa" w:w="225"/>
              <w:tblBorders>
                <w:top w:val="none" w:color="000000" w:sz="4"/>
                <w:left w:val="none" w:color="000000" w:sz="4"/>
                <w:bottom w:val="none" w:color="000000" w:sz="4"/>
                <w:right w:val="none" w:color="000000" w:sz="4"/>
                <w:insideH w:val="none"/>
                <w:insideV w:val="none"/>
              </w:tblBorders>
            </w:tblPr>
            <w:tblGrid>
              <w:gridCol w:w="359"/>
              <w:gridCol w:w="256"/>
              <w:gridCol w:w="221"/>
              <w:gridCol w:w="354"/>
              <w:gridCol w:w="345"/>
              <w:gridCol w:w="335"/>
              <w:gridCol w:w="660"/>
            </w:tblGrid>
            <w:tr>
              <w:tc>
                <w:tcPr>
                  <w:tcW w:type="dxa" w:w="3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名称</w:t>
                  </w:r>
                </w:p>
              </w:tc>
              <w:tc>
                <w:tcPr>
                  <w:tcW w:type="dxa" w:w="22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带宽</w:t>
                  </w:r>
                </w:p>
              </w:tc>
              <w:tc>
                <w:tcPr>
                  <w:tcW w:type="dxa" w:w="3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数量（条）</w:t>
                  </w:r>
                </w:p>
              </w:tc>
              <w:tc>
                <w:tcPr>
                  <w:tcW w:type="dxa" w:w="3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使用月份</w:t>
                  </w:r>
                </w:p>
              </w:tc>
              <w:tc>
                <w:tcPr>
                  <w:tcW w:type="dxa" w:w="3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甲端地址</w:t>
                  </w:r>
                </w:p>
              </w:tc>
              <w:tc>
                <w:tcPr>
                  <w:tcW w:type="dxa" w:w="6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乙端地址</w:t>
                  </w:r>
                </w:p>
              </w:tc>
            </w:tr>
            <w:tr>
              <w:tc>
                <w:tcPr>
                  <w:tcW w:type="dxa" w:w="359"/>
                  <w:vMerge/>
                  <w:tcBorders>
                    <w:top w:val="single" w:color="000000" w:sz="4"/>
                    <w:left w:val="single" w:color="000000" w:sz="4"/>
                    <w:bottom w:val="single" w:color="000000" w:sz="4"/>
                    <w:right w:val="single" w:color="000000" w:sz="4"/>
                  </w:tcBorders>
                </w:tcPr>
                <w:p/>
              </w:tc>
              <w:tc>
                <w:tcPr>
                  <w:tcW w:type="dxa" w:w="256"/>
                  <w:vMerge/>
                  <w:tcBorders>
                    <w:top w:val="single" w:color="000000" w:sz="4"/>
                    <w:left w:val="single" w:color="000000" w:sz="4"/>
                    <w:bottom w:val="single" w:color="000000" w:sz="4"/>
                    <w:right w:val="single" w:color="000000" w:sz="4"/>
                  </w:tcBorders>
                </w:tcPr>
                <w:p/>
              </w:tc>
              <w:tc>
                <w:tcPr>
                  <w:tcW w:type="dxa" w:w="221"/>
                  <w:vMerge/>
                  <w:tcBorders>
                    <w:top w:val="single" w:color="000000" w:sz="4"/>
                    <w:left w:val="single" w:color="000000" w:sz="4"/>
                    <w:bottom w:val="single" w:color="000000" w:sz="4"/>
                    <w:right w:val="single" w:color="000000" w:sz="4"/>
                  </w:tcBorders>
                </w:tcPr>
                <w:p/>
              </w:tc>
              <w:tc>
                <w:tcPr>
                  <w:tcW w:type="dxa" w:w="354"/>
                  <w:vMerge/>
                  <w:tcBorders>
                    <w:top w:val="single" w:color="000000" w:sz="4"/>
                    <w:left w:val="single" w:color="000000" w:sz="4"/>
                    <w:bottom w:val="single" w:color="000000" w:sz="4"/>
                    <w:right w:val="single" w:color="000000" w:sz="4"/>
                  </w:tcBorders>
                </w:tcPr>
                <w:p/>
              </w:tc>
              <w:tc>
                <w:tcPr>
                  <w:tcW w:type="dxa" w:w="345"/>
                  <w:vMerge/>
                  <w:tcBorders>
                    <w:top w:val="single" w:color="000000" w:sz="4"/>
                    <w:left w:val="single" w:color="000000" w:sz="4"/>
                    <w:bottom w:val="single" w:color="000000" w:sz="4"/>
                    <w:right w:val="single" w:color="000000" w:sz="4"/>
                  </w:tcBorders>
                </w:tcPr>
                <w:p/>
              </w:tc>
              <w:tc>
                <w:tcPr>
                  <w:tcW w:type="dxa" w:w="335"/>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r>
            <w:tr>
              <w:tc>
                <w:tcPr>
                  <w:tcW w:type="dxa" w:w="35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B区</w:t>
                  </w:r>
                  <w:r>
                    <w:rPr>
                      <w:rFonts w:ascii="仿宋_GB2312" w:hAnsi="仿宋_GB2312" w:cs="仿宋_GB2312" w:eastAsia="仿宋_GB2312"/>
                      <w:sz w:val="24"/>
                    </w:rPr>
                    <w:t>HG</w:t>
                  </w:r>
                  <w:r>
                    <w:rPr>
                      <w:rFonts w:ascii="仿宋_GB2312" w:hAnsi="仿宋_GB2312" w:cs="仿宋_GB2312" w:eastAsia="仿宋_GB2312"/>
                      <w:sz w:val="24"/>
                    </w:rPr>
                    <w:t>专线</w:t>
                  </w:r>
                </w:p>
              </w:tc>
              <w:tc>
                <w:tcPr>
                  <w:tcW w:type="dxa" w:w="2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w:t>
                  </w:r>
                </w:p>
                <w:p>
                  <w:pPr>
                    <w:pStyle w:val="null3"/>
                    <w:jc w:val="center"/>
                  </w:pPr>
                  <w:r>
                    <w:rPr>
                      <w:rFonts w:ascii="仿宋_GB2312" w:hAnsi="仿宋_GB2312" w:cs="仿宋_GB2312" w:eastAsia="仿宋_GB2312"/>
                      <w:sz w:val="24"/>
                    </w:rPr>
                    <w:t>电路</w:t>
                  </w: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西安市信息大道</w:t>
                  </w:r>
                  <w:r>
                    <w:rPr>
                      <w:rFonts w:ascii="仿宋_GB2312" w:hAnsi="仿宋_GB2312" w:cs="仿宋_GB2312" w:eastAsia="仿宋_GB2312"/>
                      <w:sz w:val="24"/>
                    </w:rPr>
                    <w:t>28号陕西西安出口加工区 B 区综合楼</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西安市信息大道</w:t>
                  </w:r>
                  <w:r>
                    <w:rPr>
                      <w:rFonts w:ascii="仿宋_GB2312" w:hAnsi="仿宋_GB2312" w:cs="仿宋_GB2312" w:eastAsia="仿宋_GB2312"/>
                      <w:sz w:val="24"/>
                    </w:rPr>
                    <w:t>28号陕西西安出口加工区 B 区综合楼</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西安市信息大道</w:t>
                  </w:r>
                  <w:r>
                    <w:rPr>
                      <w:rFonts w:ascii="仿宋_GB2312" w:hAnsi="仿宋_GB2312" w:cs="仿宋_GB2312" w:eastAsia="仿宋_GB2312"/>
                      <w:sz w:val="24"/>
                    </w:rPr>
                    <w:t>28号陕西西安出口加工区 B 区综合楼</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B区</w:t>
                  </w:r>
                  <w:r>
                    <w:rPr>
                      <w:rFonts w:ascii="仿宋_GB2312" w:hAnsi="仿宋_GB2312" w:cs="仿宋_GB2312" w:eastAsia="仿宋_GB2312"/>
                      <w:sz w:val="24"/>
                    </w:rPr>
                    <w:t>HG</w:t>
                  </w:r>
                  <w:r>
                    <w:rPr>
                      <w:rFonts w:ascii="仿宋_GB2312" w:hAnsi="仿宋_GB2312" w:cs="仿宋_GB2312" w:eastAsia="仿宋_GB2312"/>
                      <w:sz w:val="24"/>
                    </w:rPr>
                    <w:t>专线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w:t>
                  </w:r>
                  <w:r>
                    <w:rPr>
                      <w:rFonts w:ascii="仿宋_GB2312" w:hAnsi="仿宋_GB2312" w:cs="仿宋_GB2312" w:eastAsia="仿宋_GB2312"/>
                      <w:sz w:val="24"/>
                    </w:rPr>
                    <w:t>电</w:t>
                  </w:r>
                  <w:r>
                    <w:rPr>
                      <w:rFonts w:ascii="仿宋_GB2312" w:hAnsi="仿宋_GB2312" w:cs="仿宋_GB2312" w:eastAsia="仿宋_GB2312"/>
                      <w:sz w:val="24"/>
                    </w:rPr>
                    <w:t>路</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西安市含光路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西安市信息大道</w:t>
                  </w:r>
                  <w:r>
                    <w:rPr>
                      <w:rFonts w:ascii="仿宋_GB2312" w:hAnsi="仿宋_GB2312" w:cs="仿宋_GB2312" w:eastAsia="仿宋_GB2312"/>
                      <w:sz w:val="24"/>
                    </w:rPr>
                    <w:t>28号陕西西安出口加工区 B 区综合楼</w:t>
                  </w:r>
                </w:p>
              </w:tc>
            </w:tr>
            <w:tr>
              <w:tc>
                <w:tcPr>
                  <w:tcW w:type="dxa" w:w="35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综保区</w:t>
                  </w:r>
                  <w:r>
                    <w:rPr>
                      <w:rFonts w:ascii="仿宋_GB2312" w:hAnsi="仿宋_GB2312" w:cs="仿宋_GB2312" w:eastAsia="仿宋_GB2312"/>
                      <w:sz w:val="24"/>
                    </w:rPr>
                    <w:t>HG</w:t>
                  </w:r>
                  <w:r>
                    <w:rPr>
                      <w:rFonts w:ascii="仿宋_GB2312" w:hAnsi="仿宋_GB2312" w:cs="仿宋_GB2312" w:eastAsia="仿宋_GB2312"/>
                      <w:sz w:val="24"/>
                    </w:rPr>
                    <w:t>专线</w:t>
                  </w:r>
                </w:p>
              </w:tc>
              <w:tc>
                <w:tcPr>
                  <w:tcW w:type="dxa" w:w="2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w:t>
                  </w:r>
                  <w:r>
                    <w:rPr>
                      <w:rFonts w:ascii="仿宋_GB2312" w:hAnsi="仿宋_GB2312" w:cs="仿宋_GB2312" w:eastAsia="仿宋_GB2312"/>
                      <w:sz w:val="24"/>
                    </w:rPr>
                    <w:t>电</w:t>
                  </w:r>
                  <w:r>
                    <w:rPr>
                      <w:rFonts w:ascii="仿宋_GB2312" w:hAnsi="仿宋_GB2312" w:cs="仿宋_GB2312" w:eastAsia="仿宋_GB2312"/>
                      <w:sz w:val="24"/>
                    </w:rPr>
                    <w:t>路</w:t>
                  </w: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vMerge/>
                  <w:tcBorders>
                    <w:top w:val="non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w:t>
                  </w:r>
                </w:p>
                <w:p>
                  <w:pPr>
                    <w:pStyle w:val="null3"/>
                    <w:jc w:val="center"/>
                  </w:pPr>
                  <w:r>
                    <w:rPr>
                      <w:rFonts w:ascii="仿宋_GB2312" w:hAnsi="仿宋_GB2312" w:cs="仿宋_GB2312" w:eastAsia="仿宋_GB2312"/>
                      <w:sz w:val="24"/>
                    </w:rPr>
                    <w:t>电</w:t>
                  </w:r>
                  <w:r>
                    <w:rPr>
                      <w:rFonts w:ascii="仿宋_GB2312" w:hAnsi="仿宋_GB2312" w:cs="仿宋_GB2312" w:eastAsia="仿宋_GB2312"/>
                      <w:sz w:val="24"/>
                    </w:rPr>
                    <w:t>路</w:t>
                  </w: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 号西安高新综合保税区通关服务中心</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50M</w:t>
                  </w:r>
                </w:p>
              </w:tc>
              <w:tc>
                <w:tcPr>
                  <w:tcW w:type="dxa" w:w="3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西安市唐延路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综保区</w:t>
                  </w:r>
                  <w:r>
                    <w:rPr>
                      <w:rFonts w:ascii="仿宋_GB2312" w:hAnsi="仿宋_GB2312" w:cs="仿宋_GB2312" w:eastAsia="仿宋_GB2312"/>
                      <w:sz w:val="24"/>
                    </w:rPr>
                    <w:t>HG</w:t>
                  </w:r>
                  <w:r>
                    <w:rPr>
                      <w:rFonts w:ascii="仿宋_GB2312" w:hAnsi="仿宋_GB2312" w:cs="仿宋_GB2312" w:eastAsia="仿宋_GB2312"/>
                      <w:sz w:val="24"/>
                    </w:rPr>
                    <w:t>专线</w:t>
                  </w:r>
                </w:p>
              </w:tc>
              <w:tc>
                <w:tcPr>
                  <w:tcW w:type="dxa" w:w="2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w:t>
                  </w:r>
                </w:p>
                <w:p>
                  <w:pPr>
                    <w:pStyle w:val="null3"/>
                    <w:jc w:val="center"/>
                  </w:pPr>
                  <w:r>
                    <w:rPr>
                      <w:rFonts w:ascii="仿宋_GB2312" w:hAnsi="仿宋_GB2312" w:cs="仿宋_GB2312" w:eastAsia="仿宋_GB2312"/>
                      <w:sz w:val="24"/>
                    </w:rPr>
                    <w:t>电</w:t>
                  </w:r>
                  <w:r>
                    <w:rPr>
                      <w:rFonts w:ascii="仿宋_GB2312" w:hAnsi="仿宋_GB2312" w:cs="仿宋_GB2312" w:eastAsia="仿宋_GB2312"/>
                      <w:sz w:val="24"/>
                    </w:rPr>
                    <w:t>路</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西安市含光路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西安市含光路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vMerge/>
                  <w:tcBorders>
                    <w:top w:val="non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4M</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西安市含光路</w:t>
                  </w:r>
                  <w:r>
                    <w:rPr>
                      <w:rFonts w:ascii="仿宋_GB2312" w:hAnsi="仿宋_GB2312" w:cs="仿宋_GB2312" w:eastAsia="仿宋_GB2312"/>
                      <w:sz w:val="24"/>
                    </w:rPr>
                    <w:t>HG机房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GA</w:t>
                  </w:r>
                  <w:r>
                    <w:rPr>
                      <w:rFonts w:ascii="仿宋_GB2312" w:hAnsi="仿宋_GB2312" w:cs="仿宋_GB2312" w:eastAsia="仿宋_GB2312"/>
                      <w:sz w:val="24"/>
                    </w:rPr>
                    <w:t>专线</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裸光纤</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w:t>
                  </w:r>
                  <w:r>
                    <w:rPr>
                      <w:rFonts w:ascii="仿宋_GB2312" w:hAnsi="仿宋_GB2312" w:cs="仿宋_GB2312" w:eastAsia="仿宋_GB2312"/>
                      <w:sz w:val="24"/>
                    </w:rPr>
                    <w:t>GAJ</w:t>
                  </w:r>
                  <w:r>
                    <w:rPr>
                      <w:rFonts w:ascii="仿宋_GB2312" w:hAnsi="仿宋_GB2312" w:cs="仿宋_GB2312" w:eastAsia="仿宋_GB2312"/>
                      <w:sz w:val="24"/>
                    </w:rPr>
                    <w:t>4</w:t>
                  </w:r>
                  <w:r>
                    <w:rPr>
                      <w:rFonts w:ascii="仿宋_GB2312" w:hAnsi="仿宋_GB2312" w:cs="仿宋_GB2312" w:eastAsia="仿宋_GB2312"/>
                      <w:sz w:val="24"/>
                    </w:rPr>
                    <w:t>号楼</w:t>
                  </w:r>
                  <w:r>
                    <w:rPr>
                      <w:rFonts w:ascii="仿宋_GB2312" w:hAnsi="仿宋_GB2312" w:cs="仿宋_GB2312" w:eastAsia="仿宋_GB2312"/>
                      <w:sz w:val="24"/>
                    </w:rPr>
                    <w:t>接入</w:t>
                  </w:r>
                  <w:r>
                    <w:rPr>
                      <w:rFonts w:ascii="仿宋_GB2312" w:hAnsi="仿宋_GB2312" w:cs="仿宋_GB2312" w:eastAsia="仿宋_GB2312"/>
                      <w:sz w:val="24"/>
                    </w:rPr>
                    <w:t>机房</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r>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综保区互联网光纤</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互联网光纤</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00M</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1主12个IP地址（三组）</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服务商机房接入</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西安市通海一路</w:t>
                  </w:r>
                  <w:r>
                    <w:rPr>
                      <w:rFonts w:ascii="仿宋_GB2312" w:hAnsi="仿宋_GB2312" w:cs="仿宋_GB2312" w:eastAsia="仿宋_GB2312"/>
                      <w:sz w:val="24"/>
                    </w:rPr>
                    <w:t>5号西安高新综合保税区通关服务中心</w:t>
                  </w:r>
                </w:p>
              </w:tc>
            </w:tr>
          </w:tbl>
          <w:p>
            <w:pPr>
              <w:pStyle w:val="null3"/>
              <w:jc w:val="both"/>
            </w:pPr>
            <w:r>
              <w:rPr>
                <w:rFonts w:ascii="仿宋_GB2312" w:hAnsi="仿宋_GB2312" w:cs="仿宋_GB2312" w:eastAsia="仿宋_GB2312"/>
                <w:sz w:val="28"/>
              </w:rPr>
              <w:t>备注：上述每个单项网络链路两端接点由供应商根据实际需求进行踏勘确认。</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供应商须按照采购人的采购需求及合同各项条款，为采购人提供通信网络服务</w:t>
            </w:r>
            <w:r>
              <w:rPr>
                <w:rFonts w:ascii="仿宋_GB2312" w:hAnsi="仿宋_GB2312" w:cs="仿宋_GB2312" w:eastAsia="仿宋_GB2312"/>
                <w:sz w:val="28"/>
              </w:rPr>
              <w:t>；按时、按质开展链路及光纤等网络的定期与不定期运维工作，确保每条通信链路时刻畅通，不得影响采购人正常业务开展。</w:t>
            </w:r>
          </w:p>
          <w:p>
            <w:pPr>
              <w:pStyle w:val="null3"/>
              <w:jc w:val="both"/>
            </w:pPr>
            <w:r>
              <w:rPr>
                <w:rFonts w:ascii="仿宋_GB2312" w:hAnsi="仿宋_GB2312" w:cs="仿宋_GB2312" w:eastAsia="仿宋_GB2312"/>
                <w:sz w:val="28"/>
              </w:rPr>
              <w:t>3、上述内容按照单条、单项进行月及年度报价，根据实际使用情况进行服务费结算（只减不增）。</w:t>
            </w:r>
          </w:p>
          <w:p>
            <w:pPr>
              <w:pStyle w:val="null3"/>
              <w:jc w:val="both"/>
            </w:pPr>
            <w:r>
              <w:rPr>
                <w:rFonts w:ascii="仿宋_GB2312" w:hAnsi="仿宋_GB2312" w:cs="仿宋_GB2312" w:eastAsia="仿宋_GB2312"/>
                <w:sz w:val="28"/>
                <w:b/>
              </w:rPr>
              <w:t>四、服务标准：</w:t>
            </w:r>
          </w:p>
          <w:p>
            <w:pPr>
              <w:pStyle w:val="null3"/>
              <w:jc w:val="both"/>
            </w:pPr>
            <w:r>
              <w:rPr>
                <w:rFonts w:ascii="仿宋_GB2312" w:hAnsi="仿宋_GB2312" w:cs="仿宋_GB2312" w:eastAsia="仿宋_GB2312"/>
                <w:sz w:val="28"/>
              </w:rPr>
              <w:t>1、保证施工的时效性。</w:t>
            </w:r>
          </w:p>
          <w:p>
            <w:pPr>
              <w:pStyle w:val="null3"/>
              <w:jc w:val="both"/>
            </w:pPr>
            <w:r>
              <w:rPr>
                <w:rFonts w:ascii="仿宋_GB2312" w:hAnsi="仿宋_GB2312" w:cs="仿宋_GB2312" w:eastAsia="仿宋_GB2312"/>
                <w:sz w:val="28"/>
              </w:rPr>
              <w:t>2、保证该项目网络链路的稳定性。</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服务期限</w:t>
            </w:r>
          </w:p>
          <w:p>
            <w:pPr>
              <w:pStyle w:val="null3"/>
              <w:jc w:val="both"/>
            </w:pPr>
            <w:r>
              <w:rPr>
                <w:rFonts w:ascii="仿宋_GB2312" w:hAnsi="仿宋_GB2312" w:cs="仿宋_GB2312" w:eastAsia="仿宋_GB2312"/>
                <w:sz w:val="28"/>
              </w:rPr>
              <w:t>网络链路施工周期要求为</w:t>
            </w:r>
            <w:r>
              <w:rPr>
                <w:rFonts w:ascii="仿宋_GB2312" w:hAnsi="仿宋_GB2312" w:cs="仿宋_GB2312" w:eastAsia="仿宋_GB2312"/>
                <w:sz w:val="28"/>
              </w:rPr>
              <w:t>15个日历日，服务期限自合同约定之日起一年。</w:t>
            </w:r>
          </w:p>
          <w:p>
            <w:pPr>
              <w:pStyle w:val="null3"/>
              <w:jc w:val="both"/>
            </w:pPr>
            <w:r>
              <w:rPr>
                <w:rFonts w:ascii="仿宋_GB2312" w:hAnsi="仿宋_GB2312" w:cs="仿宋_GB2312" w:eastAsia="仿宋_GB2312"/>
                <w:sz w:val="28"/>
              </w:rPr>
              <w:t>采购人在费用不变、合同内容不变，且供应商符合服务要求的前提下，采购人可与供应商续签</w:t>
            </w:r>
            <w:r>
              <w:rPr>
                <w:rFonts w:ascii="仿宋_GB2312" w:hAnsi="仿宋_GB2312" w:cs="仿宋_GB2312" w:eastAsia="仿宋_GB2312"/>
                <w:sz w:val="28"/>
              </w:rPr>
              <w:t>2年合同（合同按年签订）。每年合同期满前30天，采购人将对供应商当期服务进行考核，考核合格的，双方可续签次年合同（季度或结算周期考核为年度考核的参照）。若出现以下情况，采购人在提前书面通知供应商后，合同到期自动终止，不再续签：</w:t>
            </w:r>
          </w:p>
          <w:p>
            <w:pPr>
              <w:pStyle w:val="null3"/>
              <w:jc w:val="both"/>
            </w:pPr>
            <w:r>
              <w:rPr>
                <w:rFonts w:ascii="仿宋_GB2312" w:hAnsi="仿宋_GB2312" w:cs="仿宋_GB2312" w:eastAsia="仿宋_GB2312"/>
                <w:sz w:val="28"/>
              </w:rPr>
              <w:t>1.一年合同期满时，采购人未获得相应预算；</w:t>
            </w:r>
          </w:p>
          <w:p>
            <w:pPr>
              <w:pStyle w:val="null3"/>
              <w:jc w:val="both"/>
            </w:pPr>
            <w:r>
              <w:rPr>
                <w:rFonts w:ascii="仿宋_GB2312" w:hAnsi="仿宋_GB2312" w:cs="仿宋_GB2312" w:eastAsia="仿宋_GB2312"/>
                <w:sz w:val="28"/>
              </w:rPr>
              <w:t>2.采购需求取消；</w:t>
            </w:r>
          </w:p>
          <w:p>
            <w:pPr>
              <w:pStyle w:val="null3"/>
              <w:jc w:val="both"/>
            </w:pPr>
            <w:r>
              <w:rPr>
                <w:rFonts w:ascii="仿宋_GB2312" w:hAnsi="仿宋_GB2312" w:cs="仿宋_GB2312" w:eastAsia="仿宋_GB2312"/>
                <w:sz w:val="28"/>
              </w:rPr>
              <w:t>3.供应商考核不合格；</w:t>
            </w:r>
          </w:p>
          <w:p>
            <w:pPr>
              <w:pStyle w:val="null3"/>
              <w:jc w:val="both"/>
            </w:pPr>
            <w:r>
              <w:rPr>
                <w:rFonts w:ascii="仿宋_GB2312" w:hAnsi="仿宋_GB2312" w:cs="仿宋_GB2312" w:eastAsia="仿宋_GB2312"/>
                <w:sz w:val="28"/>
              </w:rPr>
              <w:t>4.采购内容发生变化。</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服务要求</w:t>
            </w:r>
          </w:p>
          <w:p>
            <w:pPr>
              <w:pStyle w:val="null3"/>
              <w:jc w:val="both"/>
            </w:pPr>
            <w:r>
              <w:rPr>
                <w:rFonts w:ascii="仿宋_GB2312" w:hAnsi="仿宋_GB2312" w:cs="仿宋_GB2312" w:eastAsia="仿宋_GB2312"/>
                <w:sz w:val="28"/>
              </w:rPr>
              <w:t>1、本项目的施工、后续调试、日常线路维修维护及由此产生的全部费用，均由成交供应商承担，采购人根据合同要求支付成交供应商服务费。</w:t>
            </w:r>
          </w:p>
          <w:p>
            <w:pPr>
              <w:pStyle w:val="null3"/>
              <w:jc w:val="both"/>
            </w:pPr>
            <w:r>
              <w:rPr>
                <w:rFonts w:ascii="仿宋_GB2312" w:hAnsi="仿宋_GB2312" w:cs="仿宋_GB2312" w:eastAsia="仿宋_GB2312"/>
                <w:sz w:val="28"/>
              </w:rPr>
              <w:t>2、因成交供应商在施工、调试、后续运维等环节发生安全事故的，全部安全责任及赔偿责任由成交供应商承担，采购人不承担任何费用及安全责任。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根据项目实际情况自行配置所需设备。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网络链路施工周期要求为15个日历日，服务期限自合同约定之日起一年。 采购人在费用不变、合同内容不变，且供应商符合服务要求的前提下，采购人可与供应商续签2年合同（合同按年签订）。每年合同期满前30天，采购人将对供应商当期服务进行考核，考核合格的，双方可续签次年合同（季度或结算周期考核为年度考核的参照）。若出现以下情况，采购人在提前书面通知供应商后，合同到期自动终止，不再续签： 1.一年合同期满时，采购人未获得相应预算； 2.采购需求取消； 3.供应商考核不合格。 4.采购内容发生变化。</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按国家现行项目实施规范和合同规定的验收评定标准等要求进行验收。 验收依据：①本项目竞争性磋商文件、磋商响应文件；②本合同及附件文本；③合同签订时国家及行业现行的标准和技术规范。④供应商应向采购人提交项目实施过程中的所有资料，以便采购人日后管理和维护。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根据采购人实际使用的线路数量核算，每季度前5个工作日进行上季度的结算工作。经双方确认无误后，供应商开具有效的正式专用发票，采购人按季度支付供应商费用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根据采购人实际使用的线路数量核算，每季度前5个工作日进行上季度的结算工作。经双方确认无误后，供应商开具有效的正式专用发票，采购人按季度支付供应商费用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根据采购人实际使用的线路数量核算，每季度前5个工作日进行上季度的结算工作。经双方确认无误后，供应商开具有效的正式专用发票，采购人按季度支付供应商费用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采购人实际使用的线路数量核算，每季度前5个工作日进行上季度的结算工作。经双方确认无误后，供应商开具有效的正式专用发票，采购人按季度支付供应商费用。年底最后一个季度结算如涉及到扎账等相关情况，由双方协商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违反合同规定拒绝验收的，应当承担由此对成交供应商造成的损失。2、成交供应商所提供的服务不符合国家法律法规和合同规定的，采购人有权拒收，并由成交供应商承担一切费用。3、守约方应在违约行为发生之日起3个工作日内向违约方发出质询违约情况的书面通知，如违约方承认违约行为的存在，则违约方应在收到质询违约书面通知后的7个工作日内对违约行为予以纠正并书面通知守约方；如认为违约行为不存在，违约方则应在收到质询违约书面通知后的7个工作日内向守约方提出书面异议或说明。 4、如一方违约的，守约方有权向违约方主张合同总金额10%的违约金，如果违约金不足以弥补违约方给守约方造成的损失，违约方还应承担补足守约方损失。5、双方本着友好合作的态度,对合同履行过程中发生的纠纷应及时协商解决,协商不成，向采购人所在地人民法院诉讼解决。 争议的解决：双方本着友好合作的态度,对合同履行过程中发生的纠纷应及时协商解决,协商不成，向采购人所在地人民法院诉讼解决。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3.4.1磋商总报价的组成 磋商报价为完成本项目磋商文件中所提出的工作范围及要求的全部内容，并达到国家及采购人验收标准而产生的所有费用，包括但不限于施工费用，材料费、设备费、人工费、税费、招标代理服务费等以及后续的调试、日常线路管理、维修维护等产生的全部费用，任何错报、漏报由供应商自行负责。 3.4.2采购标的对应的中小企业划分标准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3.4.3成交人领取成交通知书时须向代理机构提交纸质版磋商响应文件：正本壹份、副本贰份、电子版（U盘）贰份。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或负责人授权委托书（附法定代表人或负责人身份证复印件）及被授权委托人身份证（法定代表人或负责人参加磋商只需提供法定代表人或负责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承诺书.docx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供应商针对同一服务未递交两份或多份内容不同的响应文件，未出现选择性报价的；</w:t>
            </w:r>
          </w:p>
        </w:tc>
        <w:tc>
          <w:tcPr>
            <w:tcW w:type="dxa" w:w="1661"/>
          </w:tcPr>
          <w:p>
            <w:pPr>
              <w:pStyle w:val="null3"/>
            </w:pPr>
            <w:r>
              <w:rPr>
                <w:rFonts w:ascii="仿宋_GB2312" w:hAnsi="仿宋_GB2312" w:cs="仿宋_GB2312" w:eastAsia="仿宋_GB2312"/>
              </w:rPr>
              <w:t>报价一览表及分项报价表.docx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中小企业声明函 商务应答表 承诺书.docx 报价表 资格证明文件.docx 响应文件封面 报价一览表及分项报价表.docx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响应文件封面 中小企业声明函 残疾人福利性单位声明函 承诺书.docx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提供2022年以来类似项目业绩合同（以合同签订时间为准），每份计2.5分，满分10分。（注：以上证明文件在磋商响应文件中附业绩合同扫描件并加盖公司章。）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针对本项目的运维思路</w:t>
            </w:r>
          </w:p>
        </w:tc>
        <w:tc>
          <w:tcPr>
            <w:tcW w:type="dxa" w:w="2492"/>
          </w:tcPr>
          <w:p>
            <w:pPr>
              <w:pStyle w:val="null3"/>
            </w:pPr>
            <w:r>
              <w:rPr>
                <w:rFonts w:ascii="仿宋_GB2312" w:hAnsi="仿宋_GB2312" w:cs="仿宋_GB2312" w:eastAsia="仿宋_GB2312"/>
              </w:rPr>
              <w:t>对现有系统环境具有一定的了解，对本项目的运维思路、原则、特点具有清晰透彻的理解，运维思路条理清晰，完整，可行性、安全性强，计（10～15]分；运维思路较清晰、较切实可行,计（4～10]分，运维思路可行性一般，计[0-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需提供科学、完整、合理、规范的网络链路通信业务服务方案（包括增值服务），方案内容完整，分析全面。总体服务方案科学合理、描述条理清晰，可行性、安全性强，完全满足采购需求,计（9～15]分；方案较具体、较切实可行,计（4～9]分；方案有缺漏项、可行性较差，计[0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服务质量保障措施内容总体思路清晰合理、可行性强得(6-10]分；质量保证措施总体思路较清晰合理，可行性较强，计(3-6]分；质量保证措施总体思路基本清晰合理，可行性一般，计[0-3]分。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1.项目负责人有丰富的相关领域工作经验或曾担任过同类项目（附业绩证明材料）； 每份计2.5分，满分5分。 2.提供拟派本项目团队人员的详细名单及团队人员在本项目中负责的具体工作，人员配备数量合理、工作经验丰富、职责划分合理等，计（7～10]分；人员配备数量较合理、工作经验一般、职责划分较合理等，计（3～7]分；人员配备数量不足，职责划分合理性较差，计[0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具有项目应急维护响应措施及故障申报处理措施，措施描述完整、可操作性强、细节描述详细,计（7～10分];有相对的操作性,描述良好,计(3～7]分；相对比内容一般,计[0～3]分。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保密和安全性防范措施</w:t>
            </w:r>
          </w:p>
        </w:tc>
        <w:tc>
          <w:tcPr>
            <w:tcW w:type="dxa" w:w="2492"/>
          </w:tcPr>
          <w:p>
            <w:pPr>
              <w:pStyle w:val="null3"/>
            </w:pPr>
            <w:r>
              <w:rPr>
                <w:rFonts w:ascii="仿宋_GB2312" w:hAnsi="仿宋_GB2312" w:cs="仿宋_GB2312" w:eastAsia="仿宋_GB2312"/>
              </w:rPr>
              <w:t>保密和安全性防范措施，根据优劣程度及可实施性计[0～5]分。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包括：培训人数、培训时间、培训内容等），保证使用单位能熟练操作维护和正常使用，对比各供应商的具体培训方案，根据响应情况综合评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售后服务方案详细，具有完善的售后服务保障体系，对质量、人员到位情况、后期服务的响应时间全面、合理，计[0-5]分。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及《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