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版本号：XDZ2025-284-N-182、XACH2025-09520250829001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正太路维修项目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XDZ2025-284-N-182、XACH2025-095</w:t>
      </w:r>
      <w:r>
        <w:br/>
      </w:r>
      <w:r>
        <w:br/>
      </w:r>
      <w:r>
        <w:br/>
      </w:r>
    </w:p>
    <w:p>
      <w:pPr>
        <w:pStyle w:val="null3"/>
        <w:jc w:val="center"/>
        <w:outlineLvl w:val="2"/>
      </w:pPr>
      <w:r>
        <w:rPr>
          <w:rFonts w:ascii="仿宋_GB2312" w:hAnsi="仿宋_GB2312" w:cs="仿宋_GB2312" w:eastAsia="仿宋_GB2312"/>
          <w:sz w:val="28"/>
          <w:b/>
        </w:rPr>
        <w:t>西安高新技术产业开发区住房和城乡建设局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西安高新技术产业开发区住房和城乡建设局</w:t>
      </w:r>
      <w:r>
        <w:rPr>
          <w:rFonts w:ascii="仿宋_GB2312" w:hAnsi="仿宋_GB2312" w:cs="仿宋_GB2312" w:eastAsia="仿宋_GB2312"/>
        </w:rPr>
        <w:t>委托，拟对</w:t>
      </w:r>
      <w:r>
        <w:rPr>
          <w:rFonts w:ascii="仿宋_GB2312" w:hAnsi="仿宋_GB2312" w:cs="仿宋_GB2312" w:eastAsia="仿宋_GB2312"/>
        </w:rPr>
        <w:t>正太路维修项目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XDZ2025-284-N-182、XACH2025-095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正太路维修项目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本工程位于西安市高新区正太路(X313-G211西鄠路)，南起县道313县道，北至211国道，全长5.9公里。本次采购范围包含拆除恢复沥青路面及道路划线工作内容。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采购包1（正太路维修项目）：属于专门面向中小企业采购。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法定代表人授权委托书（附法定代表人身份证复印件）及被授权委托人身份证（法定代表人参加磋商只需提供法定代表人身份证）；供应商需在项目电子化交易系统中按要求上传相应证明文件并进行电子签章。</w:t>
      </w:r>
    </w:p>
    <w:p>
      <w:pPr>
        <w:pStyle w:val="null3"/>
      </w:pPr>
      <w:r>
        <w:rPr>
          <w:rFonts w:ascii="仿宋_GB2312" w:hAnsi="仿宋_GB2312" w:cs="仿宋_GB2312" w:eastAsia="仿宋_GB2312"/>
        </w:rPr>
        <w:t>2、供应商具有独立承担民事责任的能力：供应商应具有独立承担民事责任的能力且具备向采购人提供相关工程及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4、资质证书：具备建设行政主管部门颁发的市政公用工程施工总承包三级及以上资质，且具有有效的安全生产许可证；供应商需在项目电子化交易系统中按要求上传相应证明文件并进行电子签章。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经理：具备二级及以上注册建造师执业资格（市政公用工程专业），具有有效的安全生产考核合格证（建安B证），在本单位注册，且未担任其他在建工程项目的项目经理；供应商需在项目电子化交易系统中按要求上传相应证明文件并进行电子签章。</w:t>
      </w:r>
    </w:p>
    <w:p>
      <w:pPr>
        <w:pStyle w:val="null3"/>
      </w:pPr>
      <w:r>
        <w:rPr>
          <w:rFonts w:ascii="仿宋_GB2312" w:hAnsi="仿宋_GB2312" w:cs="仿宋_GB2312" w:eastAsia="仿宋_GB2312"/>
        </w:rPr>
        <w:t>6、中小企业声明函：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供应商需在项目电子化交易系统中按要求上传相应证明文件并进行电子签章。</w:t>
      </w:r>
    </w:p>
    <w:p>
      <w:pPr>
        <w:pStyle w:val="null3"/>
      </w:pPr>
      <w:r>
        <w:rPr>
          <w:rFonts w:ascii="仿宋_GB2312" w:hAnsi="仿宋_GB2312" w:cs="仿宋_GB2312" w:eastAsia="仿宋_GB2312"/>
        </w:rPr>
        <w:t>7、非联合体磋商：非联合体磋商声明;供应商需在项目电子化交易系统中按要求上传相应证明文件并进行电子签章。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高新区丝路创智谷6号楼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029-81110590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文奕奕、商碧红、王文文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采购包1：2,000,424.05元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1.0%收取，100万-500万按0.7%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西安高新技术产业开发区住房和城乡建设局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一、符合国家、地方及行业合格标准.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联系人：文奕奕、商碧红、王文文</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2,000,424.05</w:t>
      </w:r>
    </w:p>
    <w:p>
      <w:pPr>
        <w:pStyle w:val="null3"/>
      </w:pPr>
      <w:r>
        <w:rPr>
          <w:rFonts w:ascii="仿宋_GB2312" w:hAnsi="仿宋_GB2312" w:cs="仿宋_GB2312" w:eastAsia="仿宋_GB2312"/>
        </w:rPr>
        <w:t>采购包最高限价（元）: 2,000,424.05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正太路维修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2,000,424.05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标的名称：正太路维修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一、施工内容</w:t>
            </w:r>
          </w:p>
          <w:p>
            <w:pPr>
              <w:pStyle w:val="null3"/>
            </w:pPr>
            <w:r>
              <w:rPr>
                <w:rFonts w:ascii="仿宋_GB2312" w:hAnsi="仿宋_GB2312" w:cs="仿宋_GB2312" w:eastAsia="仿宋_GB2312"/>
                <w:sz w:val="24"/>
                <w:color w:val="000000"/>
              </w:rPr>
              <w:t>本工程位于西安市高新区正太路</w:t>
            </w:r>
            <w:r>
              <w:rPr>
                <w:rFonts w:ascii="仿宋_GB2312" w:hAnsi="仿宋_GB2312" w:cs="仿宋_GB2312" w:eastAsia="仿宋_GB2312"/>
                <w:sz w:val="24"/>
                <w:color w:val="000000"/>
              </w:rPr>
              <w:t>(X313-G211</w:t>
            </w:r>
            <w:r>
              <w:rPr>
                <w:rFonts w:ascii="仿宋_GB2312" w:hAnsi="仿宋_GB2312" w:cs="仿宋_GB2312" w:eastAsia="仿宋_GB2312"/>
                <w:sz w:val="24"/>
                <w:color w:val="000000"/>
              </w:rPr>
              <w:t>西鄠路</w:t>
            </w:r>
            <w:r>
              <w:rPr>
                <w:rFonts w:ascii="仿宋_GB2312" w:hAnsi="仿宋_GB2312" w:cs="仿宋_GB2312" w:eastAsia="仿宋_GB2312"/>
                <w:sz w:val="24"/>
                <w:color w:val="000000"/>
              </w:rPr>
              <w:t>)</w:t>
            </w:r>
            <w:r>
              <w:rPr>
                <w:rFonts w:ascii="仿宋_GB2312" w:hAnsi="仿宋_GB2312" w:cs="仿宋_GB2312" w:eastAsia="仿宋_GB2312"/>
                <w:sz w:val="24"/>
                <w:color w:val="000000"/>
              </w:rPr>
              <w:t>，南起县道</w:t>
            </w:r>
            <w:r>
              <w:rPr>
                <w:rFonts w:ascii="仿宋_GB2312" w:hAnsi="仿宋_GB2312" w:cs="仿宋_GB2312" w:eastAsia="仿宋_GB2312"/>
                <w:sz w:val="24"/>
                <w:color w:val="000000"/>
              </w:rPr>
              <w:t>313</w:t>
            </w:r>
            <w:r>
              <w:rPr>
                <w:rFonts w:ascii="仿宋_GB2312" w:hAnsi="仿宋_GB2312" w:cs="仿宋_GB2312" w:eastAsia="仿宋_GB2312"/>
                <w:sz w:val="24"/>
                <w:color w:val="000000"/>
              </w:rPr>
              <w:t>县道</w:t>
            </w:r>
            <w:r>
              <w:rPr>
                <w:rFonts w:ascii="仿宋_GB2312" w:hAnsi="仿宋_GB2312" w:cs="仿宋_GB2312" w:eastAsia="仿宋_GB2312"/>
                <w:sz w:val="24"/>
                <w:color w:val="000000"/>
              </w:rPr>
              <w:t>，</w:t>
            </w:r>
            <w:r>
              <w:rPr>
                <w:rFonts w:ascii="仿宋_GB2312" w:hAnsi="仿宋_GB2312" w:cs="仿宋_GB2312" w:eastAsia="仿宋_GB2312"/>
                <w:sz w:val="24"/>
                <w:color w:val="000000"/>
              </w:rPr>
              <w:t>北至</w:t>
            </w:r>
            <w:r>
              <w:rPr>
                <w:rFonts w:ascii="仿宋_GB2312" w:hAnsi="仿宋_GB2312" w:cs="仿宋_GB2312" w:eastAsia="仿宋_GB2312"/>
                <w:sz w:val="24"/>
                <w:color w:val="000000"/>
              </w:rPr>
              <w:t>211</w:t>
            </w:r>
            <w:r>
              <w:rPr>
                <w:rFonts w:ascii="仿宋_GB2312" w:hAnsi="仿宋_GB2312" w:cs="仿宋_GB2312" w:eastAsia="仿宋_GB2312"/>
                <w:sz w:val="24"/>
                <w:color w:val="000000"/>
              </w:rPr>
              <w:t>国道，全长</w:t>
            </w:r>
            <w:r>
              <w:rPr>
                <w:rFonts w:ascii="仿宋_GB2312" w:hAnsi="仿宋_GB2312" w:cs="仿宋_GB2312" w:eastAsia="仿宋_GB2312"/>
                <w:sz w:val="24"/>
                <w:color w:val="000000"/>
              </w:rPr>
              <w:t>5.9</w:t>
            </w:r>
            <w:r>
              <w:rPr>
                <w:rFonts w:ascii="仿宋_GB2312" w:hAnsi="仿宋_GB2312" w:cs="仿宋_GB2312" w:eastAsia="仿宋_GB2312"/>
                <w:sz w:val="24"/>
                <w:color w:val="000000"/>
              </w:rPr>
              <w:t>公里。本次</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范围包含拆除恢复沥青路面及道路划线工作内容。</w:t>
            </w:r>
          </w:p>
          <w:p>
            <w:pPr>
              <w:pStyle w:val="null3"/>
            </w:pPr>
            <w:r>
              <w:rPr>
                <w:rFonts w:ascii="仿宋_GB2312" w:hAnsi="仿宋_GB2312" w:cs="仿宋_GB2312" w:eastAsia="仿宋_GB2312"/>
                <w:sz w:val="24"/>
                <w:b/>
                <w:color w:val="000000"/>
              </w:rPr>
              <w:t>二、项目实施地点：</w:t>
            </w:r>
            <w:r>
              <w:rPr>
                <w:rFonts w:ascii="仿宋_GB2312" w:hAnsi="仿宋_GB2312" w:cs="仿宋_GB2312" w:eastAsia="仿宋_GB2312"/>
                <w:sz w:val="24"/>
                <w:color w:val="000000"/>
              </w:rPr>
              <w:t>本工程位于西安</w:t>
            </w:r>
            <w:r>
              <w:rPr>
                <w:rFonts w:ascii="仿宋_GB2312" w:hAnsi="仿宋_GB2312" w:cs="仿宋_GB2312" w:eastAsia="仿宋_GB2312"/>
                <w:sz w:val="24"/>
                <w:color w:val="000000"/>
              </w:rPr>
              <w:t>市高新区正太路</w:t>
            </w:r>
            <w:r>
              <w:rPr>
                <w:rFonts w:ascii="仿宋_GB2312" w:hAnsi="仿宋_GB2312" w:cs="仿宋_GB2312" w:eastAsia="仿宋_GB2312"/>
                <w:sz w:val="24"/>
                <w:color w:val="000000"/>
              </w:rPr>
              <w:t>(X313-G211</w:t>
            </w:r>
            <w:r>
              <w:rPr>
                <w:rFonts w:ascii="仿宋_GB2312" w:hAnsi="仿宋_GB2312" w:cs="仿宋_GB2312" w:eastAsia="仿宋_GB2312"/>
                <w:sz w:val="24"/>
                <w:color w:val="000000"/>
              </w:rPr>
              <w:t>西鄠路</w:t>
            </w:r>
            <w:r>
              <w:rPr>
                <w:rFonts w:ascii="仿宋_GB2312" w:hAnsi="仿宋_GB2312" w:cs="仿宋_GB2312" w:eastAsia="仿宋_GB2312"/>
                <w:sz w:val="24"/>
                <w:color w:val="000000"/>
              </w:rPr>
              <w:t>)</w:t>
            </w:r>
            <w:r>
              <w:rPr>
                <w:rFonts w:ascii="仿宋_GB2312" w:hAnsi="仿宋_GB2312" w:cs="仿宋_GB2312" w:eastAsia="仿宋_GB2312"/>
                <w:sz w:val="24"/>
                <w:color w:val="000000"/>
              </w:rPr>
              <w:t>，南起县道</w:t>
            </w:r>
            <w:r>
              <w:rPr>
                <w:rFonts w:ascii="仿宋_GB2312" w:hAnsi="仿宋_GB2312" w:cs="仿宋_GB2312" w:eastAsia="仿宋_GB2312"/>
                <w:sz w:val="24"/>
                <w:color w:val="000000"/>
              </w:rPr>
              <w:t>313</w:t>
            </w:r>
            <w:r>
              <w:rPr>
                <w:rFonts w:ascii="仿宋_GB2312" w:hAnsi="仿宋_GB2312" w:cs="仿宋_GB2312" w:eastAsia="仿宋_GB2312"/>
                <w:sz w:val="24"/>
                <w:color w:val="000000"/>
              </w:rPr>
              <w:t>县道，北至</w:t>
            </w:r>
            <w:r>
              <w:rPr>
                <w:rFonts w:ascii="仿宋_GB2312" w:hAnsi="仿宋_GB2312" w:cs="仿宋_GB2312" w:eastAsia="仿宋_GB2312"/>
                <w:sz w:val="24"/>
                <w:color w:val="000000"/>
              </w:rPr>
              <w:t>211</w:t>
            </w:r>
            <w:r>
              <w:rPr>
                <w:rFonts w:ascii="仿宋_GB2312" w:hAnsi="仿宋_GB2312" w:cs="仿宋_GB2312" w:eastAsia="仿宋_GB2312"/>
                <w:sz w:val="24"/>
                <w:color w:val="000000"/>
              </w:rPr>
              <w:t>国道。</w:t>
            </w:r>
          </w:p>
          <w:p>
            <w:pPr>
              <w:pStyle w:val="null3"/>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质量标准</w:t>
            </w:r>
          </w:p>
          <w:p>
            <w:pPr>
              <w:pStyle w:val="null3"/>
            </w:pPr>
            <w:r>
              <w:rPr>
                <w:rFonts w:ascii="仿宋_GB2312" w:hAnsi="仿宋_GB2312" w:cs="仿宋_GB2312" w:eastAsia="仿宋_GB2312"/>
                <w:sz w:val="24"/>
              </w:rPr>
              <w:t>达到国家、省市或相关行业规范</w:t>
            </w:r>
            <w:r>
              <w:rPr>
                <w:rFonts w:ascii="仿宋_GB2312" w:hAnsi="仿宋_GB2312" w:cs="仿宋_GB2312" w:eastAsia="仿宋_GB2312"/>
                <w:sz w:val="24"/>
              </w:rPr>
              <w:t>“合格”标准要求。</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工期</w:t>
            </w:r>
            <w:r>
              <w:rPr>
                <w:rFonts w:ascii="仿宋_GB2312" w:hAnsi="仿宋_GB2312" w:cs="仿宋_GB2312" w:eastAsia="仿宋_GB2312"/>
                <w:sz w:val="24"/>
                <w:b/>
              </w:rPr>
              <w:t>：</w:t>
            </w:r>
            <w:r>
              <w:rPr>
                <w:rFonts w:ascii="仿宋_GB2312" w:hAnsi="仿宋_GB2312" w:cs="仿宋_GB2312" w:eastAsia="仿宋_GB2312"/>
                <w:sz w:val="24"/>
              </w:rPr>
              <w:t>30日历天，具体开工日期以实际开工日期为准</w:t>
            </w:r>
            <w:r>
              <w:rPr>
                <w:rFonts w:ascii="仿宋_GB2312" w:hAnsi="仿宋_GB2312" w:cs="仿宋_GB2312" w:eastAsia="仿宋_GB2312"/>
                <w:sz w:val="24"/>
              </w:rPr>
              <w:t>。</w:t>
            </w:r>
          </w:p>
          <w:p>
            <w:pPr>
              <w:pStyle w:val="null3"/>
            </w:pPr>
            <w:r>
              <w:rPr>
                <w:rFonts w:ascii="仿宋_GB2312" w:hAnsi="仿宋_GB2312" w:cs="仿宋_GB2312" w:eastAsia="仿宋_GB2312"/>
                <w:sz w:val="24"/>
                <w:b/>
              </w:rPr>
              <w:t>五、质保期：</w:t>
            </w:r>
            <w:r>
              <w:rPr>
                <w:rFonts w:ascii="仿宋_GB2312" w:hAnsi="仿宋_GB2312" w:cs="仿宋_GB2312" w:eastAsia="仿宋_GB2312"/>
                <w:sz w:val="24"/>
              </w:rPr>
              <w:t>自工程竣工验收合格之日起</w:t>
            </w:r>
            <w:r>
              <w:rPr>
                <w:rFonts w:ascii="仿宋_GB2312" w:hAnsi="仿宋_GB2312" w:cs="仿宋_GB2312" w:eastAsia="仿宋_GB2312"/>
                <w:sz w:val="24"/>
              </w:rPr>
              <w:t>2年。</w:t>
            </w:r>
          </w:p>
          <w:p>
            <w:pPr>
              <w:pStyle w:val="null3"/>
            </w:pPr>
            <w:r>
              <w:rPr>
                <w:rFonts w:ascii="仿宋_GB2312" w:hAnsi="仿宋_GB2312" w:cs="仿宋_GB2312" w:eastAsia="仿宋_GB2312"/>
                <w:sz w:val="24"/>
                <w:b/>
              </w:rPr>
              <w:t>六、安全技术要求</w:t>
            </w:r>
          </w:p>
          <w:p>
            <w:pPr>
              <w:pStyle w:val="null3"/>
            </w:pPr>
            <w:r>
              <w:rPr>
                <w:rFonts w:ascii="仿宋_GB2312" w:hAnsi="仿宋_GB2312" w:cs="仿宋_GB2312" w:eastAsia="仿宋_GB2312"/>
                <w:sz w:val="24"/>
              </w:rPr>
              <w:t>正太路维修安全运行要求，提前预防事故，最终达到安全管理的目的。</w:t>
            </w:r>
          </w:p>
          <w:p>
            <w:pPr>
              <w:pStyle w:val="null3"/>
            </w:pPr>
            <w:r>
              <w:rPr>
                <w:rFonts w:ascii="仿宋_GB2312" w:hAnsi="仿宋_GB2312" w:cs="仿宋_GB2312" w:eastAsia="仿宋_GB2312"/>
                <w:sz w:val="24"/>
                <w:b/>
              </w:rPr>
              <w:t>七</w:t>
            </w:r>
            <w:r>
              <w:rPr>
                <w:rFonts w:ascii="仿宋_GB2312" w:hAnsi="仿宋_GB2312" w:cs="仿宋_GB2312" w:eastAsia="仿宋_GB2312"/>
                <w:sz w:val="24"/>
                <w:b/>
              </w:rPr>
              <w:t>、工程施工基本要求</w:t>
            </w:r>
          </w:p>
          <w:p>
            <w:pPr>
              <w:pStyle w:val="null3"/>
            </w:pPr>
            <w:r>
              <w:rPr>
                <w:rFonts w:ascii="仿宋_GB2312" w:hAnsi="仿宋_GB2312" w:cs="仿宋_GB2312" w:eastAsia="仿宋_GB2312"/>
                <w:sz w:val="24"/>
              </w:rPr>
              <w:t>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p>
            <w:pPr>
              <w:pStyle w:val="null3"/>
            </w:pPr>
            <w:r>
              <w:rPr>
                <w:rFonts w:ascii="仿宋_GB2312" w:hAnsi="仿宋_GB2312" w:cs="仿宋_GB2312" w:eastAsia="仿宋_GB2312"/>
                <w:sz w:val="24"/>
                <w:b/>
              </w:rPr>
              <w:t>八</w:t>
            </w:r>
            <w:r>
              <w:rPr>
                <w:rFonts w:ascii="仿宋_GB2312" w:hAnsi="仿宋_GB2312" w:cs="仿宋_GB2312" w:eastAsia="仿宋_GB2312"/>
                <w:sz w:val="24"/>
              </w:rPr>
              <w:t>、</w:t>
            </w:r>
            <w:r>
              <w:rPr>
                <w:rFonts w:ascii="仿宋_GB2312" w:hAnsi="仿宋_GB2312" w:cs="仿宋_GB2312" w:eastAsia="仿宋_GB2312"/>
                <w:sz w:val="24"/>
                <w:b/>
              </w:rPr>
              <w:t>工程量清单及报价说明</w:t>
            </w:r>
          </w:p>
          <w:p>
            <w:pPr>
              <w:pStyle w:val="null3"/>
            </w:pPr>
            <w:r>
              <w:rPr>
                <w:rFonts w:ascii="仿宋_GB2312" w:hAnsi="仿宋_GB2312" w:cs="仿宋_GB2312" w:eastAsia="仿宋_GB2312"/>
                <w:sz w:val="24"/>
              </w:rPr>
              <w:t>本项目为全</w:t>
            </w:r>
            <w:r>
              <w:rPr>
                <w:rFonts w:ascii="仿宋_GB2312" w:hAnsi="仿宋_GB2312" w:cs="仿宋_GB2312" w:eastAsia="仿宋_GB2312"/>
                <w:sz w:val="24"/>
              </w:rPr>
              <w:t>费用</w:t>
            </w:r>
            <w:r>
              <w:rPr>
                <w:rFonts w:ascii="仿宋_GB2312" w:hAnsi="仿宋_GB2312" w:cs="仿宋_GB2312" w:eastAsia="仿宋_GB2312"/>
                <w:sz w:val="24"/>
              </w:rPr>
              <w:t>综合单价报价。</w:t>
            </w:r>
          </w:p>
          <w:tbl>
            <w:tblPr>
              <w:tblInd w:type="dxa" w:w="90"/>
              <w:tblBorders>
                <w:top w:val="none" w:color="000000" w:sz="4"/>
                <w:left w:val="none" w:color="000000" w:sz="4"/>
                <w:bottom w:val="none" w:color="000000" w:sz="4"/>
                <w:right w:val="none" w:color="000000" w:sz="4"/>
                <w:insideH w:val="none"/>
                <w:insideV w:val="none"/>
              </w:tblBorders>
            </w:tblPr>
            <w:tblGrid>
              <w:gridCol w:w="261"/>
              <w:gridCol w:w="626"/>
              <w:gridCol w:w="832"/>
              <w:gridCol w:w="430"/>
              <w:gridCol w:w="386"/>
            </w:tblGrid>
            <w:tr>
              <w:tc>
                <w:tcPr>
                  <w:tcW w:type="dxa" w:w="261"/>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626"/>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项目编码</w:t>
                  </w:r>
                </w:p>
              </w:tc>
              <w:tc>
                <w:tcPr>
                  <w:tcW w:type="dxa" w:w="83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43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w:t>
                  </w:r>
                  <w:r>
                    <w:br/>
                  </w:r>
                  <w:r>
                    <w:rPr>
                      <w:rFonts w:ascii="仿宋_GB2312" w:hAnsi="仿宋_GB2312" w:cs="仿宋_GB2312" w:eastAsia="仿宋_GB2312"/>
                      <w:sz w:val="20"/>
                      <w:color w:val="000000"/>
                    </w:rPr>
                    <w:t>单位</w:t>
                  </w:r>
                </w:p>
              </w:tc>
              <w:tc>
                <w:tcPr>
                  <w:tcW w:type="dxa" w:w="386"/>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261"/>
                  <w:vMerge/>
                  <w:tcBorders>
                    <w:top w:val="single" w:color="000000" w:sz="4"/>
                    <w:left w:val="single" w:color="000000" w:sz="4"/>
                    <w:bottom w:val="single" w:color="000000" w:sz="4"/>
                    <w:right w:val="single" w:color="000000" w:sz="4"/>
                  </w:tcBorders>
                </w:tcPr>
                <w:p/>
              </w:tc>
              <w:tc>
                <w:tcPr>
                  <w:tcW w:type="dxa" w:w="626"/>
                  <w:vMerge/>
                  <w:tcBorders>
                    <w:top w:val="single" w:color="000000" w:sz="4"/>
                    <w:left w:val="none" w:color="000000" w:sz="4"/>
                    <w:bottom w:val="single" w:color="000000" w:sz="4"/>
                    <w:right w:val="single" w:color="000000" w:sz="4"/>
                  </w:tcBorders>
                </w:tcPr>
                <w:p/>
              </w:tc>
              <w:tc>
                <w:tcPr>
                  <w:tcW w:type="dxa" w:w="832"/>
                  <w:vMerge/>
                  <w:tcBorders>
                    <w:top w:val="single" w:color="000000" w:sz="4"/>
                    <w:left w:val="none" w:color="000000" w:sz="4"/>
                    <w:bottom w:val="single" w:color="000000" w:sz="4"/>
                    <w:right w:val="single" w:color="000000" w:sz="4"/>
                  </w:tcBorders>
                </w:tcPr>
                <w:p/>
              </w:tc>
              <w:tc>
                <w:tcPr>
                  <w:tcW w:type="dxa" w:w="430"/>
                  <w:vMerge/>
                  <w:tcBorders>
                    <w:top w:val="single" w:color="000000" w:sz="4"/>
                    <w:left w:val="none" w:color="000000" w:sz="4"/>
                    <w:bottom w:val="single" w:color="000000" w:sz="4"/>
                    <w:right w:val="single" w:color="000000" w:sz="4"/>
                  </w:tcBorders>
                </w:tcPr>
                <w:p/>
              </w:tc>
              <w:tc>
                <w:tcPr>
                  <w:tcW w:type="dxa" w:w="386"/>
                  <w:vMerge/>
                  <w:tcBorders>
                    <w:top w:val="single" w:color="000000" w:sz="4"/>
                    <w:left w:val="none" w:color="000000" w:sz="4"/>
                    <w:bottom w:val="singl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K0+000～K5+893段</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拆除原道路</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040801001001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拆除路面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1.材质:沥青混凝土（AC-13）5cm</w:t>
                  </w:r>
                  <w:r>
                    <w:br/>
                  </w:r>
                  <w:r>
                    <w:rPr>
                      <w:rFonts w:ascii="仿宋_GB2312" w:hAnsi="仿宋_GB2312" w:cs="仿宋_GB2312" w:eastAsia="仿宋_GB2312"/>
                      <w:sz w:val="20"/>
                      <w:color w:val="000000"/>
                    </w:rPr>
                    <w:t>2.厚度:5cm</w:t>
                  </w:r>
                  <w:r>
                    <w:br/>
                  </w:r>
                  <w:r>
                    <w:rPr>
                      <w:rFonts w:ascii="仿宋_GB2312" w:hAnsi="仿宋_GB2312" w:cs="仿宋_GB2312" w:eastAsia="仿宋_GB2312"/>
                      <w:sz w:val="20"/>
                      <w:color w:val="000000"/>
                    </w:rPr>
                    <w:t>3.暂定量</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2.运输</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10469</w:t>
                  </w: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040801001002</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拆除路面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1.材质:沥青混凝土（AC-20）7cm</w:t>
                  </w:r>
                  <w:r>
                    <w:br/>
                  </w:r>
                  <w:r>
                    <w:rPr>
                      <w:rFonts w:ascii="仿宋_GB2312" w:hAnsi="仿宋_GB2312" w:cs="仿宋_GB2312" w:eastAsia="仿宋_GB2312"/>
                      <w:sz w:val="20"/>
                      <w:color w:val="000000"/>
                    </w:rPr>
                    <w:t>2.厚度:7cm</w:t>
                  </w:r>
                  <w:r>
                    <w:br/>
                  </w:r>
                  <w:r>
                    <w:rPr>
                      <w:rFonts w:ascii="仿宋_GB2312" w:hAnsi="仿宋_GB2312" w:cs="仿宋_GB2312" w:eastAsia="仿宋_GB2312"/>
                      <w:sz w:val="20"/>
                      <w:color w:val="000000"/>
                    </w:rPr>
                    <w:t>3.暂定量</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2.运输</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2259</w:t>
                  </w: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040801002001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拆除基层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1.材质:二灰碎石</w:t>
                  </w:r>
                  <w:r>
                    <w:br/>
                  </w:r>
                  <w:r>
                    <w:rPr>
                      <w:rFonts w:ascii="仿宋_GB2312" w:hAnsi="仿宋_GB2312" w:cs="仿宋_GB2312" w:eastAsia="仿宋_GB2312"/>
                      <w:sz w:val="20"/>
                      <w:color w:val="000000"/>
                    </w:rPr>
                    <w:t>2.厚度:36cm</w:t>
                  </w:r>
                  <w:r>
                    <w:br/>
                  </w:r>
                  <w:r>
                    <w:rPr>
                      <w:rFonts w:ascii="仿宋_GB2312" w:hAnsi="仿宋_GB2312" w:cs="仿宋_GB2312" w:eastAsia="仿宋_GB2312"/>
                      <w:sz w:val="20"/>
                      <w:color w:val="000000"/>
                    </w:rPr>
                    <w:t>3.暂定量</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2.运输</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296</w:t>
                  </w: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040801002002</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拆除基层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1.材质:灰土</w:t>
                  </w:r>
                  <w:r>
                    <w:br/>
                  </w:r>
                  <w:r>
                    <w:rPr>
                      <w:rFonts w:ascii="仿宋_GB2312" w:hAnsi="仿宋_GB2312" w:cs="仿宋_GB2312" w:eastAsia="仿宋_GB2312"/>
                      <w:sz w:val="20"/>
                      <w:color w:val="000000"/>
                    </w:rPr>
                    <w:t>2.厚度:30cm</w:t>
                  </w:r>
                  <w:r>
                    <w:br/>
                  </w:r>
                  <w:r>
                    <w:rPr>
                      <w:rFonts w:ascii="仿宋_GB2312" w:hAnsi="仿宋_GB2312" w:cs="仿宋_GB2312" w:eastAsia="仿宋_GB2312"/>
                      <w:sz w:val="20"/>
                      <w:color w:val="000000"/>
                    </w:rPr>
                    <w:t>3.暂定量</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2.运输</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246</w:t>
                  </w: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DB001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垃圾清理外运</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1.拆除路面垃圾清理及外运</w:t>
                  </w:r>
                  <w:r>
                    <w:br/>
                  </w:r>
                  <w:r>
                    <w:rPr>
                      <w:rFonts w:ascii="仿宋_GB2312" w:hAnsi="仿宋_GB2312" w:cs="仿宋_GB2312" w:eastAsia="仿宋_GB2312"/>
                      <w:sz w:val="20"/>
                      <w:color w:val="000000"/>
                    </w:rPr>
                    <w:t>2.暂定量</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1.运输</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1000</w:t>
                  </w: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新建道路</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040203004001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沥青混凝土</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1.喷洒黏层油 0.5kg/㎡                      2.铺设细粒式沥青混凝土（AC-13）5cm</w:t>
                  </w:r>
                  <w:r>
                    <w:br/>
                  </w:r>
                  <w:r>
                    <w:rPr>
                      <w:rFonts w:ascii="仿宋_GB2312" w:hAnsi="仿宋_GB2312" w:cs="仿宋_GB2312" w:eastAsia="仿宋_GB2312"/>
                      <w:sz w:val="20"/>
                      <w:color w:val="000000"/>
                    </w:rPr>
                    <w:t>3.暂定量</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1.洒铺底油</w:t>
                  </w:r>
                  <w:r>
                    <w:br/>
                  </w:r>
                  <w:r>
                    <w:rPr>
                      <w:rFonts w:ascii="仿宋_GB2312" w:hAnsi="仿宋_GB2312" w:cs="仿宋_GB2312" w:eastAsia="仿宋_GB2312"/>
                      <w:sz w:val="20"/>
                      <w:color w:val="000000"/>
                    </w:rPr>
                    <w:t>2.铺筑</w:t>
                  </w:r>
                  <w:r>
                    <w:br/>
                  </w:r>
                  <w:r>
                    <w:rPr>
                      <w:rFonts w:ascii="仿宋_GB2312" w:hAnsi="仿宋_GB2312" w:cs="仿宋_GB2312" w:eastAsia="仿宋_GB2312"/>
                      <w:sz w:val="20"/>
                      <w:color w:val="000000"/>
                    </w:rPr>
                    <w:t>3.碾压</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10469</w:t>
                  </w: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040203004002</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沥青混凝土</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1.喷洒黏层油 0.5kg/㎡</w:t>
                  </w:r>
                  <w:r>
                    <w:br/>
                  </w:r>
                  <w:r>
                    <w:rPr>
                      <w:rFonts w:ascii="仿宋_GB2312" w:hAnsi="仿宋_GB2312" w:cs="仿宋_GB2312" w:eastAsia="仿宋_GB2312"/>
                      <w:sz w:val="20"/>
                      <w:color w:val="000000"/>
                    </w:rPr>
                    <w:t>2.沥青混凝土（AC-20）7cm</w:t>
                  </w:r>
                  <w:r>
                    <w:br/>
                  </w:r>
                  <w:r>
                    <w:rPr>
                      <w:rFonts w:ascii="仿宋_GB2312" w:hAnsi="仿宋_GB2312" w:cs="仿宋_GB2312" w:eastAsia="仿宋_GB2312"/>
                      <w:sz w:val="20"/>
                      <w:color w:val="000000"/>
                    </w:rPr>
                    <w:t>3.暂定量</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1.洒铺底油</w:t>
                  </w:r>
                  <w:r>
                    <w:br/>
                  </w:r>
                  <w:r>
                    <w:rPr>
                      <w:rFonts w:ascii="仿宋_GB2312" w:hAnsi="仿宋_GB2312" w:cs="仿宋_GB2312" w:eastAsia="仿宋_GB2312"/>
                      <w:sz w:val="20"/>
                      <w:color w:val="000000"/>
                    </w:rPr>
                    <w:t>2.铺筑</w:t>
                  </w:r>
                  <w:r>
                    <w:br/>
                  </w:r>
                  <w:r>
                    <w:rPr>
                      <w:rFonts w:ascii="仿宋_GB2312" w:hAnsi="仿宋_GB2312" w:cs="仿宋_GB2312" w:eastAsia="仿宋_GB2312"/>
                      <w:sz w:val="20"/>
                      <w:color w:val="000000"/>
                    </w:rPr>
                    <w:t>3.碾压</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2259</w:t>
                  </w: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040202014001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二灰碎石基层</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1.材质：二灰碎石</w:t>
                  </w:r>
                  <w:r>
                    <w:br/>
                  </w:r>
                  <w:r>
                    <w:rPr>
                      <w:rFonts w:ascii="仿宋_GB2312" w:hAnsi="仿宋_GB2312" w:cs="仿宋_GB2312" w:eastAsia="仿宋_GB2312"/>
                      <w:sz w:val="20"/>
                      <w:color w:val="000000"/>
                    </w:rPr>
                    <w:t>2.厚度:36cm</w:t>
                  </w:r>
                  <w:r>
                    <w:br/>
                  </w:r>
                  <w:r>
                    <w:rPr>
                      <w:rFonts w:ascii="仿宋_GB2312" w:hAnsi="仿宋_GB2312" w:cs="仿宋_GB2312" w:eastAsia="仿宋_GB2312"/>
                      <w:sz w:val="20"/>
                      <w:color w:val="000000"/>
                    </w:rPr>
                    <w:t>3.暂定量</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1.拌和</w:t>
                  </w:r>
                  <w:r>
                    <w:br/>
                  </w:r>
                  <w:r>
                    <w:rPr>
                      <w:rFonts w:ascii="仿宋_GB2312" w:hAnsi="仿宋_GB2312" w:cs="仿宋_GB2312" w:eastAsia="仿宋_GB2312"/>
                      <w:sz w:val="20"/>
                      <w:color w:val="000000"/>
                    </w:rPr>
                    <w:t>2.铺筑</w:t>
                  </w:r>
                  <w:r>
                    <w:br/>
                  </w:r>
                  <w:r>
                    <w:rPr>
                      <w:rFonts w:ascii="仿宋_GB2312" w:hAnsi="仿宋_GB2312" w:cs="仿宋_GB2312" w:eastAsia="仿宋_GB2312"/>
                      <w:sz w:val="20"/>
                      <w:color w:val="000000"/>
                    </w:rPr>
                    <w:t>3.找平</w:t>
                  </w:r>
                  <w:r>
                    <w:br/>
                  </w:r>
                  <w:r>
                    <w:rPr>
                      <w:rFonts w:ascii="仿宋_GB2312" w:hAnsi="仿宋_GB2312" w:cs="仿宋_GB2312" w:eastAsia="仿宋_GB2312"/>
                      <w:sz w:val="20"/>
                      <w:color w:val="000000"/>
                    </w:rPr>
                    <w:t>4.碾压</w:t>
                  </w:r>
                  <w:r>
                    <w:br/>
                  </w:r>
                  <w:r>
                    <w:rPr>
                      <w:rFonts w:ascii="仿宋_GB2312" w:hAnsi="仿宋_GB2312" w:cs="仿宋_GB2312" w:eastAsia="仿宋_GB2312"/>
                      <w:sz w:val="20"/>
                      <w:color w:val="000000"/>
                    </w:rPr>
                    <w:t>5.养护</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296</w:t>
                  </w: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040202003001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水泥稳定土</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1.材质：10%水泥稳定土</w:t>
                  </w:r>
                  <w:r>
                    <w:br/>
                  </w:r>
                  <w:r>
                    <w:rPr>
                      <w:rFonts w:ascii="仿宋_GB2312" w:hAnsi="仿宋_GB2312" w:cs="仿宋_GB2312" w:eastAsia="仿宋_GB2312"/>
                      <w:sz w:val="20"/>
                      <w:color w:val="000000"/>
                    </w:rPr>
                    <w:t>2.厚度:30cm</w:t>
                  </w:r>
                  <w:r>
                    <w:br/>
                  </w:r>
                  <w:r>
                    <w:rPr>
                      <w:rFonts w:ascii="仿宋_GB2312" w:hAnsi="仿宋_GB2312" w:cs="仿宋_GB2312" w:eastAsia="仿宋_GB2312"/>
                      <w:sz w:val="20"/>
                      <w:color w:val="000000"/>
                    </w:rPr>
                    <w:t>3.暂定量</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1.拌和</w:t>
                  </w:r>
                  <w:r>
                    <w:br/>
                  </w:r>
                  <w:r>
                    <w:rPr>
                      <w:rFonts w:ascii="仿宋_GB2312" w:hAnsi="仿宋_GB2312" w:cs="仿宋_GB2312" w:eastAsia="仿宋_GB2312"/>
                      <w:sz w:val="20"/>
                      <w:color w:val="000000"/>
                    </w:rPr>
                    <w:t>2.铺筑</w:t>
                  </w:r>
                  <w:r>
                    <w:br/>
                  </w:r>
                  <w:r>
                    <w:rPr>
                      <w:rFonts w:ascii="仿宋_GB2312" w:hAnsi="仿宋_GB2312" w:cs="仿宋_GB2312" w:eastAsia="仿宋_GB2312"/>
                      <w:sz w:val="20"/>
                      <w:color w:val="000000"/>
                    </w:rPr>
                    <w:t>3.找平</w:t>
                  </w:r>
                  <w:r>
                    <w:br/>
                  </w:r>
                  <w:r>
                    <w:rPr>
                      <w:rFonts w:ascii="仿宋_GB2312" w:hAnsi="仿宋_GB2312" w:cs="仿宋_GB2312" w:eastAsia="仿宋_GB2312"/>
                      <w:sz w:val="20"/>
                      <w:color w:val="000000"/>
                    </w:rPr>
                    <w:t>4.碾压</w:t>
                  </w:r>
                  <w:r>
                    <w:br/>
                  </w:r>
                  <w:r>
                    <w:rPr>
                      <w:rFonts w:ascii="仿宋_GB2312" w:hAnsi="仿宋_GB2312" w:cs="仿宋_GB2312" w:eastAsia="仿宋_GB2312"/>
                      <w:sz w:val="20"/>
                      <w:color w:val="000000"/>
                    </w:rPr>
                    <w:t>5.养护</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246</w:t>
                  </w:r>
                </w:p>
              </w:tc>
            </w:tr>
            <w:tr>
              <w:tc>
                <w:tcPr>
                  <w:tcW w:type="dxa" w:w="2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040205006001</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标线</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1.油漆品种:热熔漆</w:t>
                  </w:r>
                  <w:r>
                    <w:br/>
                  </w:r>
                  <w:r>
                    <w:rPr>
                      <w:rFonts w:ascii="仿宋_GB2312" w:hAnsi="仿宋_GB2312" w:cs="仿宋_GB2312" w:eastAsia="仿宋_GB2312"/>
                      <w:sz w:val="20"/>
                      <w:color w:val="000000"/>
                    </w:rPr>
                    <w:t>2.暂定量</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1.画线</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165</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（1）《中华人民共和国建筑法》 （2）《市政道路工程质量检验评定标准》(CJJ1-90) （3）《市政道路工程施工质量验收规范》（CJJ-2008） （4）《给水排水管道工程施工及验收规范》（GB50268-2008） （5）《城市桥梁工程施工与质量验收规范》（CJJ2-2008） （6）《建设工程质量管理条例》（国务院279号） （7）《建设工程安全生产管理条例》（国务院393号） 备注：凡涉及的相关规范，国家有最新标准的以最新标准为准。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3.3.1付款方式： （1）项目竣工验收合格及工程结算完成后30日内除留结算款的3%质保金外，将剩余应付工程款一次性支付。 （2）工程完工，经验收合格出具竣工验收证书，且完工工程量及竣工结算总价经审核确定后支付至竣工结算总价的97%，剩余3%为质量保证金。缺陷责任期（24个月）满后，无质量问题后一次性无息支付。 （3）供应商应按照要求办理完所有手续后完成工程款结算并办理支付。每次支付前，供应商应提供符合采购人要求的等额增值税发票，否则采购人有权拒绝付款并不承担任何责任。 3.3.2本项目磋商总报价为完成本项目磋商文件中所提出的工作范围及要求的全部内容，并达到国家及采购人验收标准而产生的所有费用，磋商报价包括但不限于以下内容：包括人工费、材料费、机械费、措施费、管理费、利润、规费、税金、风险、工程保险费、招标代理服务费、防污治霾费等完成本项目所产生的一切费用。任何错报、漏报由供应商自行负责。 3.3.3清单编制依据：《陕西省建设工程工程量清单计价规则（2009）》《陕西省安装工程消耗量定额（2004）》及其补充定额，《陕西省安装工程价目表（2009）》及配套计价费率、相关政策性文件；陕建发【2021】1097号文件；陕建发【2017】270号文、【2019】1246号文、陕建发【2020】1097号文、陕建发【2021】1021号文、陕建发【2019】45号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 【采购标的对应的中小企业划分标准所属行业：建筑业。根据《工业和信息化部、国家统计局、国家发展和改革委员会、财政部关于印发中小企业划型标准规定的通知》（工信部联企业〔2011〕300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具备建设行政主管部门颁发的市政公用工程施工总承包三级及以上资质，且具有有效的安全生产许可证；供应商需在项目电子化交易系统中按要求上传相应证明文件并进行电子签章。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具备二级及以上注册建造师执业资格（市政公用工程专业），具有有效的安全生产考核合格证（建安B证），在本单位注册，且未担任其他在建工程项目的项目经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通过符合性审查供应商的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 已标价工程量清单 分项报价表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 已标价工程量清单 分项报价表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响应文件有磋商响应有效期且响应有效期达到磋商文件的要求；</w:t>
            </w:r>
          </w:p>
        </w:tc>
        <w:tc>
          <w:tcPr>
            <w:tcW w:type="dxa" w:w="1661"/>
          </w:tcPr>
          <w:p>
            <w:pPr>
              <w:pStyle w:val="null3"/>
            </w:pPr>
            <w:r>
              <w:rPr>
                <w:rFonts w:ascii="仿宋_GB2312" w:hAnsi="仿宋_GB2312" w:cs="仿宋_GB2312" w:eastAsia="仿宋_GB2312"/>
              </w:rPr>
              <w:t>报价一览表 已标价工程量清单 分项报价表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选择性报价</w:t>
            </w:r>
          </w:p>
        </w:tc>
        <w:tc>
          <w:tcPr>
            <w:tcW w:type="dxa" w:w="3322"/>
          </w:tcPr>
          <w:p>
            <w:pPr>
              <w:pStyle w:val="null3"/>
            </w:pPr>
            <w:r>
              <w:rPr>
                <w:rFonts w:ascii="仿宋_GB2312" w:hAnsi="仿宋_GB2312" w:cs="仿宋_GB2312" w:eastAsia="仿宋_GB2312"/>
              </w:rPr>
              <w:t>供应商针对同一工程及服务未递交两份或多份内容不同的响应文件，未出现选择性报价；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 已标价工程量清单 分项报价表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报价一览表 已标价工程量清单 分项报价表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 已标价工程量清单 分项报价表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 已标价工程量清单 分项报价表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 已标价工程量清单 分项报价表 中小企业声明函 技术标 技术服务合同条款及其他商务要求应答表 响应文件封面 资格证明文件 政府采购供应商拒绝政府采购领域商业贿赂承诺书 残疾人福利性单位声明函 报价函 标的清单 供应商承诺书 响应函 业绩证明文件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正太路维修提供可行的施工方案。[方案总体思路清晰、合理、可操作性强、可执行程度高，且能很好推动项目实施得8～12(含)分；方案总体思路基本明确、可行性、合理性高得4～8(含)分；方案思路模糊、可行性、合理性一般得0～4(含)分。]本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项目经理部组成及劳动力投入，人员搭配合理，数量充足，经验丰富，证明材料详尽计4～8（含）分，人员搭配较为合理，数量较充足，经验不足，证明材料不够详尽计0～4（含）分，本项满分8分；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施工机械、材料及工器具的配备情况</w:t>
            </w:r>
          </w:p>
        </w:tc>
        <w:tc>
          <w:tcPr>
            <w:tcW w:type="dxa" w:w="2492"/>
          </w:tcPr>
          <w:p>
            <w:pPr>
              <w:pStyle w:val="null3"/>
            </w:pPr>
            <w:r>
              <w:rPr>
                <w:rFonts w:ascii="仿宋_GB2312" w:hAnsi="仿宋_GB2312" w:cs="仿宋_GB2312" w:eastAsia="仿宋_GB2312"/>
              </w:rPr>
              <w:t>施工机械、施工材料及工器具的配备情况，机械、材料及设备安排合理、完整计4～8（含）分，机械、材料及设备安排简单计0～4（含）分，本项满分8分；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确保本项目质量的技术组织措施</w:t>
            </w:r>
          </w:p>
        </w:tc>
        <w:tc>
          <w:tcPr>
            <w:tcW w:type="dxa" w:w="2492"/>
          </w:tcPr>
          <w:p>
            <w:pPr>
              <w:pStyle w:val="null3"/>
            </w:pPr>
            <w:r>
              <w:rPr>
                <w:rFonts w:ascii="仿宋_GB2312" w:hAnsi="仿宋_GB2312" w:cs="仿宋_GB2312" w:eastAsia="仿宋_GB2312"/>
              </w:rPr>
              <w:t>确保本项目质量的技术组织措施，措施内容科学可行、有针对性且内容详细计4～8（含）分，措施内容较为可行、针对性不强、内容简单计0～4（含）分，本项满分8分；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确保治污减霾和防尘污染的技术组织措施</w:t>
            </w:r>
          </w:p>
        </w:tc>
        <w:tc>
          <w:tcPr>
            <w:tcW w:type="dxa" w:w="2492"/>
          </w:tcPr>
          <w:p>
            <w:pPr>
              <w:pStyle w:val="null3"/>
            </w:pPr>
            <w:r>
              <w:rPr>
                <w:rFonts w:ascii="仿宋_GB2312" w:hAnsi="仿宋_GB2312" w:cs="仿宋_GB2312" w:eastAsia="仿宋_GB2312"/>
              </w:rPr>
              <w:t>确保治污减霾和防尘污染的技术组织措施，措施内容科学可行、有针对性且内容详细计4～8（含）分，措施内容较为可行、针对性不强、内容简单计0～4（含）分，本项满分8分；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确保安全生产和文明施工的技术组织措施</w:t>
            </w:r>
          </w:p>
        </w:tc>
        <w:tc>
          <w:tcPr>
            <w:tcW w:type="dxa" w:w="2492"/>
          </w:tcPr>
          <w:p>
            <w:pPr>
              <w:pStyle w:val="null3"/>
            </w:pPr>
            <w:r>
              <w:rPr>
                <w:rFonts w:ascii="仿宋_GB2312" w:hAnsi="仿宋_GB2312" w:cs="仿宋_GB2312" w:eastAsia="仿宋_GB2312"/>
              </w:rPr>
              <w:t>确保安全生产和文明施工的技术组织措施，措施内容科学可行、有针对性且内容详细计4～8（含）分，措施内容较为可行、针对性不强、内容简单计0～4（含）分，本项满分8分；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确保工期的技术组织措施，措施内容科学可行、有针对性且内容详细计4～8（含）分，措施内容较为可行、针对性不强、内容简单计0～4（含）分，本项满分8分；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施工进度表或施工网络图（进度表或网络图结构清晰、安排科学合理计2～5（含）分；进度表或网络图结构基本清晰、安排合理计0～2（含）分，本项满分5分；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提供供应商2022年以来类似项目业绩合同（以合同签订时间为准），每份计2.5分，满分5分。（注：以上证明文件在磋商响应文件中附业绩合同扫描件并加盖公章）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详见附件：技术标</w:t>
      </w:r>
    </w:p>
    <w:p>
      <w:pPr>
        <w:pStyle w:val="null3"/>
        <w:ind w:firstLine="960"/>
      </w:pPr>
      <w:r>
        <w:rPr>
          <w:rFonts w:ascii="仿宋_GB2312" w:hAnsi="仿宋_GB2312" w:cs="仿宋_GB2312" w:eastAsia="仿宋_GB2312"/>
        </w:rPr>
        <w:t>详见附件：报价一览表</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