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101331">
      <w:pPr>
        <w:keepNext w:val="0"/>
        <w:keepLines w:val="0"/>
        <w:pageBreakBefore w:val="0"/>
        <w:kinsoku/>
        <w:bidi w:val="0"/>
        <w:spacing w:before="62" w:line="360" w:lineRule="auto"/>
        <w:jc w:val="center"/>
        <w:rPr>
          <w:rFonts w:ascii="仿宋" w:hAnsi="仿宋" w:eastAsia="仿宋" w:cs="仿宋"/>
          <w:b/>
          <w:bCs/>
          <w:color w:val="auto"/>
          <w:sz w:val="36"/>
          <w:szCs w:val="36"/>
          <w:highlight w:val="none"/>
        </w:rPr>
      </w:pPr>
      <w:bookmarkStart w:id="0" w:name="_GoBack"/>
      <w:bookmarkEnd w:id="0"/>
      <w:r>
        <w:rPr>
          <w:rFonts w:hint="eastAsia" w:ascii="仿宋" w:hAnsi="仿宋" w:eastAsia="仿宋" w:cs="仿宋"/>
          <w:b/>
          <w:bCs/>
          <w:color w:val="auto"/>
          <w:spacing w:val="7"/>
          <w:sz w:val="36"/>
          <w:szCs w:val="36"/>
          <w:highlight w:val="none"/>
        </w:rPr>
        <w:t xml:space="preserve"> 拟签订采购合同文本</w:t>
      </w:r>
    </w:p>
    <w:p w14:paraId="3BE4885E">
      <w:pPr>
        <w:keepNext w:val="0"/>
        <w:keepLines w:val="0"/>
        <w:pageBreakBefore w:val="0"/>
        <w:kinsoku/>
        <w:bidi w:val="0"/>
        <w:spacing w:line="360" w:lineRule="auto"/>
        <w:jc w:val="center"/>
        <w:rPr>
          <w:rFonts w:ascii="仿宋" w:hAnsi="仿宋" w:eastAsia="仿宋" w:cs="仿宋"/>
          <w:b/>
          <w:bCs/>
          <w:color w:val="auto"/>
          <w:sz w:val="44"/>
          <w:szCs w:val="44"/>
          <w:highlight w:val="none"/>
          <w:lang w:eastAsia="zh-CN"/>
        </w:rPr>
      </w:pPr>
      <w:r>
        <w:rPr>
          <w:rFonts w:hint="eastAsia" w:ascii="仿宋" w:hAnsi="仿宋" w:eastAsia="仿宋" w:cs="仿宋"/>
          <w:b/>
          <w:bCs/>
          <w:color w:val="auto"/>
          <w:sz w:val="44"/>
          <w:szCs w:val="44"/>
          <w:highlight w:val="none"/>
          <w:lang w:eastAsia="zh-CN"/>
        </w:rPr>
        <w:t xml:space="preserve">    </w:t>
      </w:r>
    </w:p>
    <w:p w14:paraId="50342E6B">
      <w:pPr>
        <w:keepNext w:val="0"/>
        <w:keepLines w:val="0"/>
        <w:pageBreakBefore w:val="0"/>
        <w:kinsoku/>
        <w:bidi w:val="0"/>
        <w:spacing w:line="360" w:lineRule="auto"/>
        <w:jc w:val="center"/>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t>合同主要条款</w:t>
      </w:r>
    </w:p>
    <w:p w14:paraId="6CD67602">
      <w:pPr>
        <w:keepNext w:val="0"/>
        <w:keepLines w:val="0"/>
        <w:pageBreakBefore w:val="0"/>
        <w:kinsoku/>
        <w:bidi w:val="0"/>
        <w:spacing w:line="360" w:lineRule="auto"/>
        <w:rPr>
          <w:rFonts w:ascii="仿宋" w:hAnsi="仿宋" w:eastAsia="仿宋" w:cs="仿宋"/>
          <w:color w:val="auto"/>
          <w:highlight w:val="none"/>
          <w:lang w:eastAsia="zh-CN"/>
        </w:rPr>
      </w:pPr>
    </w:p>
    <w:p w14:paraId="2D81B33A">
      <w:pPr>
        <w:keepNext w:val="0"/>
        <w:keepLines w:val="0"/>
        <w:pageBreakBefore w:val="0"/>
        <w:kinsoku/>
        <w:bidi w:val="0"/>
        <w:spacing w:line="360" w:lineRule="auto"/>
        <w:jc w:val="both"/>
        <w:rPr>
          <w:rFonts w:ascii="仿宋" w:hAnsi="仿宋" w:eastAsia="仿宋" w:cs="仿宋"/>
          <w:b/>
          <w:color w:val="auto"/>
          <w:sz w:val="44"/>
          <w:szCs w:val="44"/>
          <w:highlight w:val="none"/>
          <w:lang w:eastAsia="zh-CN"/>
        </w:rPr>
      </w:pPr>
    </w:p>
    <w:p w14:paraId="164A4E01">
      <w:pPr>
        <w:pStyle w:val="9"/>
        <w:keepNext w:val="0"/>
        <w:keepLines w:val="0"/>
        <w:pageBreakBefore w:val="0"/>
        <w:kinsoku/>
        <w:bidi w:val="0"/>
        <w:snapToGrid w:val="0"/>
        <w:spacing w:line="360" w:lineRule="auto"/>
        <w:rPr>
          <w:rFonts w:ascii="仿宋" w:hAnsi="仿宋" w:eastAsia="仿宋" w:cs="仿宋"/>
          <w:color w:val="auto"/>
          <w:highlight w:val="none"/>
        </w:rPr>
      </w:pPr>
    </w:p>
    <w:p w14:paraId="52C63693">
      <w:pPr>
        <w:pStyle w:val="9"/>
        <w:keepNext w:val="0"/>
        <w:keepLines w:val="0"/>
        <w:pageBreakBefore w:val="0"/>
        <w:kinsoku/>
        <w:bidi w:val="0"/>
        <w:snapToGrid w:val="0"/>
        <w:spacing w:line="360" w:lineRule="auto"/>
        <w:jc w:val="center"/>
        <w:rPr>
          <w:rFonts w:hint="eastAsia" w:ascii="仿宋" w:hAnsi="仿宋" w:eastAsia="仿宋" w:cs="仿宋"/>
          <w:b/>
          <w:bCs/>
          <w:snapToGrid w:val="0"/>
          <w:color w:val="auto"/>
          <w:kern w:val="0"/>
          <w:sz w:val="40"/>
          <w:szCs w:val="40"/>
          <w:highlight w:val="none"/>
          <w:lang w:eastAsia="zh-CN"/>
        </w:rPr>
      </w:pPr>
      <w:r>
        <w:rPr>
          <w:rFonts w:hint="eastAsia" w:ascii="仿宋" w:hAnsi="仿宋" w:eastAsia="仿宋" w:cs="仿宋"/>
          <w:b/>
          <w:bCs/>
          <w:snapToGrid w:val="0"/>
          <w:color w:val="auto"/>
          <w:kern w:val="0"/>
          <w:sz w:val="40"/>
          <w:szCs w:val="40"/>
          <w:highlight w:val="none"/>
          <w:lang w:eastAsia="zh-CN"/>
        </w:rPr>
        <w:t>正太路维修项目</w:t>
      </w:r>
    </w:p>
    <w:p w14:paraId="336727E9">
      <w:pPr>
        <w:pStyle w:val="9"/>
        <w:keepNext w:val="0"/>
        <w:keepLines w:val="0"/>
        <w:pageBreakBefore w:val="0"/>
        <w:kinsoku/>
        <w:bidi w:val="0"/>
        <w:snapToGrid w:val="0"/>
        <w:spacing w:line="360" w:lineRule="auto"/>
        <w:rPr>
          <w:rFonts w:ascii="仿宋" w:hAnsi="仿宋" w:eastAsia="仿宋" w:cs="仿宋"/>
          <w:b/>
          <w:bCs/>
          <w:snapToGrid w:val="0"/>
          <w:color w:val="auto"/>
          <w:kern w:val="0"/>
          <w:sz w:val="44"/>
          <w:szCs w:val="44"/>
          <w:highlight w:val="none"/>
          <w:lang w:eastAsia="en-US"/>
        </w:rPr>
      </w:pPr>
    </w:p>
    <w:p w14:paraId="3F90461E">
      <w:pPr>
        <w:pStyle w:val="9"/>
        <w:keepNext w:val="0"/>
        <w:keepLines w:val="0"/>
        <w:pageBreakBefore w:val="0"/>
        <w:kinsoku/>
        <w:bidi w:val="0"/>
        <w:snapToGrid w:val="0"/>
        <w:spacing w:line="360" w:lineRule="auto"/>
        <w:rPr>
          <w:rFonts w:ascii="仿宋" w:hAnsi="仿宋" w:eastAsia="仿宋" w:cs="仿宋"/>
          <w:color w:val="auto"/>
          <w:highlight w:val="none"/>
        </w:rPr>
      </w:pPr>
    </w:p>
    <w:p w14:paraId="509AAD9F">
      <w:pPr>
        <w:keepNext w:val="0"/>
        <w:keepLines w:val="0"/>
        <w:pageBreakBefore w:val="0"/>
        <w:kinsoku/>
        <w:bidi w:val="0"/>
        <w:spacing w:line="360" w:lineRule="auto"/>
        <w:rPr>
          <w:rFonts w:ascii="仿宋" w:hAnsi="仿宋" w:eastAsia="仿宋" w:cs="仿宋"/>
          <w:color w:val="auto"/>
          <w:highlight w:val="none"/>
        </w:rPr>
      </w:pPr>
    </w:p>
    <w:p w14:paraId="3DF9746B">
      <w:pPr>
        <w:pStyle w:val="9"/>
        <w:keepNext w:val="0"/>
        <w:keepLines w:val="0"/>
        <w:pageBreakBefore w:val="0"/>
        <w:kinsoku/>
        <w:bidi w:val="0"/>
        <w:snapToGrid w:val="0"/>
        <w:spacing w:line="360" w:lineRule="auto"/>
        <w:rPr>
          <w:rFonts w:ascii="仿宋" w:hAnsi="仿宋" w:eastAsia="仿宋" w:cs="仿宋"/>
          <w:color w:val="auto"/>
          <w:highlight w:val="none"/>
        </w:rPr>
      </w:pPr>
    </w:p>
    <w:p w14:paraId="095B5285">
      <w:pPr>
        <w:keepNext w:val="0"/>
        <w:keepLines w:val="0"/>
        <w:pageBreakBefore w:val="0"/>
        <w:kinsoku/>
        <w:bidi w:val="0"/>
        <w:spacing w:line="360" w:lineRule="auto"/>
        <w:jc w:val="center"/>
        <w:rPr>
          <w:rFonts w:ascii="仿宋" w:hAnsi="仿宋" w:eastAsia="仿宋" w:cs="仿宋"/>
          <w:b/>
          <w:color w:val="auto"/>
          <w:sz w:val="48"/>
          <w:szCs w:val="48"/>
          <w:highlight w:val="none"/>
        </w:rPr>
      </w:pPr>
    </w:p>
    <w:p w14:paraId="17A33142">
      <w:pPr>
        <w:keepNext w:val="0"/>
        <w:keepLines w:val="0"/>
        <w:pageBreakBefore w:val="0"/>
        <w:kinsoku/>
        <w:bidi w:val="0"/>
        <w:spacing w:line="360" w:lineRule="auto"/>
        <w:jc w:val="center"/>
        <w:rPr>
          <w:rFonts w:ascii="仿宋" w:hAnsi="仿宋" w:eastAsia="仿宋" w:cs="仿宋"/>
          <w:color w:val="auto"/>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1F020753">
      <w:pPr>
        <w:pStyle w:val="9"/>
        <w:keepNext w:val="0"/>
        <w:keepLines w:val="0"/>
        <w:pageBreakBefore w:val="0"/>
        <w:kinsoku/>
        <w:bidi w:val="0"/>
        <w:snapToGrid w:val="0"/>
        <w:spacing w:line="360" w:lineRule="auto"/>
        <w:rPr>
          <w:rFonts w:ascii="仿宋" w:hAnsi="仿宋" w:eastAsia="仿宋" w:cs="仿宋"/>
          <w:color w:val="auto"/>
          <w:highlight w:val="none"/>
        </w:rPr>
      </w:pPr>
    </w:p>
    <w:p w14:paraId="231AD26A">
      <w:pPr>
        <w:pStyle w:val="9"/>
        <w:keepNext w:val="0"/>
        <w:keepLines w:val="0"/>
        <w:pageBreakBefore w:val="0"/>
        <w:kinsoku/>
        <w:bidi w:val="0"/>
        <w:snapToGrid w:val="0"/>
        <w:spacing w:line="360" w:lineRule="auto"/>
        <w:rPr>
          <w:rFonts w:ascii="仿宋" w:hAnsi="仿宋" w:eastAsia="仿宋" w:cs="仿宋"/>
          <w:color w:val="auto"/>
          <w:highlight w:val="none"/>
        </w:rPr>
      </w:pPr>
    </w:p>
    <w:p w14:paraId="3D972E65">
      <w:pPr>
        <w:pStyle w:val="9"/>
        <w:keepNext w:val="0"/>
        <w:keepLines w:val="0"/>
        <w:pageBreakBefore w:val="0"/>
        <w:kinsoku/>
        <w:bidi w:val="0"/>
        <w:snapToGrid w:val="0"/>
        <w:spacing w:line="360" w:lineRule="auto"/>
        <w:rPr>
          <w:rFonts w:ascii="仿宋" w:hAnsi="仿宋" w:eastAsia="仿宋" w:cs="仿宋"/>
          <w:color w:val="auto"/>
          <w:highlight w:val="none"/>
        </w:rPr>
      </w:pPr>
    </w:p>
    <w:p w14:paraId="64A64989">
      <w:pPr>
        <w:pStyle w:val="9"/>
        <w:keepNext w:val="0"/>
        <w:keepLines w:val="0"/>
        <w:pageBreakBefore w:val="0"/>
        <w:kinsoku/>
        <w:bidi w:val="0"/>
        <w:snapToGrid w:val="0"/>
        <w:spacing w:line="360" w:lineRule="auto"/>
        <w:rPr>
          <w:rFonts w:ascii="仿宋" w:hAnsi="仿宋" w:eastAsia="仿宋" w:cs="仿宋"/>
          <w:color w:val="auto"/>
          <w:highlight w:val="none"/>
        </w:rPr>
      </w:pPr>
    </w:p>
    <w:p w14:paraId="4BD74EEC">
      <w:pPr>
        <w:pStyle w:val="9"/>
        <w:keepNext w:val="0"/>
        <w:keepLines w:val="0"/>
        <w:pageBreakBefore w:val="0"/>
        <w:kinsoku/>
        <w:bidi w:val="0"/>
        <w:snapToGrid w:val="0"/>
        <w:spacing w:line="360" w:lineRule="auto"/>
        <w:rPr>
          <w:rFonts w:ascii="仿宋" w:hAnsi="仿宋" w:eastAsia="仿宋" w:cs="仿宋"/>
          <w:color w:val="auto"/>
          <w:highlight w:val="none"/>
        </w:rPr>
      </w:pPr>
    </w:p>
    <w:p w14:paraId="1F05081C">
      <w:pPr>
        <w:pStyle w:val="9"/>
        <w:keepNext w:val="0"/>
        <w:keepLines w:val="0"/>
        <w:pageBreakBefore w:val="0"/>
        <w:kinsoku/>
        <w:bidi w:val="0"/>
        <w:snapToGrid w:val="0"/>
        <w:spacing w:line="360" w:lineRule="auto"/>
        <w:rPr>
          <w:rFonts w:ascii="仿宋" w:hAnsi="仿宋" w:eastAsia="仿宋" w:cs="仿宋"/>
          <w:color w:val="auto"/>
          <w:highlight w:val="none"/>
        </w:rPr>
      </w:pPr>
    </w:p>
    <w:p w14:paraId="167E4C5B">
      <w:pPr>
        <w:keepNext w:val="0"/>
        <w:keepLines w:val="0"/>
        <w:pageBreakBefore w:val="0"/>
        <w:kinsoku/>
        <w:bidi w:val="0"/>
        <w:spacing w:line="360" w:lineRule="auto"/>
        <w:ind w:left="1377" w:hanging="1469" w:hangingChars="400"/>
        <w:jc w:val="center"/>
        <w:rPr>
          <w:rFonts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color w:val="auto"/>
          <w:highlight w:val="none"/>
        </w:rPr>
        <w:fldChar w:fldCharType="begin"/>
      </w:r>
      <w:r>
        <w:rPr>
          <w:color w:val="auto"/>
          <w:highlight w:val="none"/>
        </w:rPr>
        <w:instrText xml:space="preserve"> HYPERLINK "http://set2.mail.qq.com/cgi-bin/mail_spam?action=check_link&amp;spam=0&amp;url=http%3A%2F%2Fwww%2Ebaidu%2Ecom%2Fs%3Fwd%3D%25E9%2587%2587%25E8%25B4%25AD%25E5%258D%2595%26hl_tag%3Dtextlink%26tn%3DSE_hldp01350_v6v6zkg6" </w:instrText>
      </w:r>
      <w:r>
        <w:rPr>
          <w:color w:val="auto"/>
          <w:highlight w:val="none"/>
        </w:rPr>
        <w:fldChar w:fldCharType="separate"/>
      </w:r>
      <w:r>
        <w:rPr>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5148EEE2">
      <w:pPr>
        <w:keepNext w:val="0"/>
        <w:keepLines w:val="0"/>
        <w:pageBreakBefore w:val="0"/>
        <w:kinsoku/>
        <w:bidi w:val="0"/>
        <w:spacing w:line="360" w:lineRule="auto"/>
        <w:ind w:left="840" w:hanging="840" w:hangingChars="400"/>
        <w:jc w:val="center"/>
        <w:rPr>
          <w:rFonts w:ascii="仿宋" w:hAnsi="仿宋" w:eastAsia="仿宋" w:cs="仿宋"/>
          <w:color w:val="auto"/>
          <w:spacing w:val="23"/>
          <w:sz w:val="28"/>
          <w:szCs w:val="28"/>
          <w:highlight w:val="none"/>
          <w:u w:val="single"/>
        </w:rPr>
      </w:pPr>
      <w:r>
        <w:rPr>
          <w:color w:val="auto"/>
          <w:highlight w:val="none"/>
        </w:rPr>
        <w:fldChar w:fldCharType="begin"/>
      </w:r>
      <w:r>
        <w:rPr>
          <w:color w:val="auto"/>
          <w:highlight w:val="none"/>
        </w:rPr>
        <w:instrText xml:space="preserve"> HYPERLINK "http://set2.mail.qq.com/cgi-bin/mail_spam?action=check_link&amp;spam=0&amp;url=http%3A%2F%2Fwww%2Ebaidu%2Ecom%2Fs%3Fwd%3D%25E4%25B9%2599%25E6%2596%25B9%26hl_tag%3Dtextlink%26tn%3DSE_hldp01350_v6v6zkg6" </w:instrText>
      </w:r>
      <w:r>
        <w:rPr>
          <w:color w:val="auto"/>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21BB26DA">
      <w:pPr>
        <w:keepNext w:val="0"/>
        <w:keepLines w:val="0"/>
        <w:pageBreakBefore w:val="0"/>
        <w:tabs>
          <w:tab w:val="left" w:pos="1995"/>
        </w:tabs>
        <w:kinsoku/>
        <w:bidi w:val="0"/>
        <w:spacing w:line="360" w:lineRule="auto"/>
        <w:ind w:left="1377" w:hanging="1469" w:hangingChars="400"/>
        <w:jc w:val="center"/>
        <w:rPr>
          <w:rFonts w:ascii="仿宋" w:hAnsi="仿宋" w:eastAsia="仿宋" w:cs="仿宋"/>
          <w:bCs/>
          <w:color w:val="auto"/>
          <w:sz w:val="28"/>
          <w:szCs w:val="28"/>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151493F1">
      <w:pPr>
        <w:keepNext w:val="0"/>
        <w:keepLines w:val="0"/>
        <w:pageBreakBefore w:val="0"/>
        <w:kinsoku/>
        <w:bidi w:val="0"/>
        <w:spacing w:line="360" w:lineRule="auto"/>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br w:type="page"/>
      </w:r>
    </w:p>
    <w:p w14:paraId="492F97EA">
      <w:pPr>
        <w:keepNext w:val="0"/>
        <w:keepLines w:val="0"/>
        <w:pageBreakBefore w:val="0"/>
        <w:kinsoku/>
        <w:autoSpaceDE/>
        <w:autoSpaceDN/>
        <w:bidi w:val="0"/>
        <w:spacing w:line="360" w:lineRule="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采购人（以下简称甲方）：</w:t>
      </w:r>
    </w:p>
    <w:p w14:paraId="5E658099">
      <w:pPr>
        <w:keepNext w:val="0"/>
        <w:keepLines w:val="0"/>
        <w:pageBreakBefore w:val="0"/>
        <w:kinsoku/>
        <w:autoSpaceDE/>
        <w:autoSpaceDN/>
        <w:bidi w:val="0"/>
        <w:spacing w:line="360" w:lineRule="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供应商（以下简称乙方）：</w:t>
      </w:r>
    </w:p>
    <w:p w14:paraId="76070032">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根据《中华人民共和国</w:t>
      </w:r>
      <w:r>
        <w:rPr>
          <w:rFonts w:hint="eastAsia" w:ascii="仿宋" w:hAnsi="仿宋" w:eastAsia="仿宋" w:cs="仿宋"/>
          <w:bCs/>
          <w:color w:val="auto"/>
          <w:sz w:val="28"/>
          <w:szCs w:val="28"/>
          <w:highlight w:val="none"/>
          <w:lang w:eastAsia="zh-CN"/>
        </w:rPr>
        <w:t>民法典</w:t>
      </w:r>
      <w:r>
        <w:rPr>
          <w:rFonts w:hint="eastAsia" w:ascii="仿宋" w:hAnsi="仿宋" w:eastAsia="仿宋" w:cs="仿宋"/>
          <w:bCs/>
          <w:color w:val="auto"/>
          <w:sz w:val="28"/>
          <w:szCs w:val="28"/>
          <w:highlight w:val="none"/>
        </w:rPr>
        <w:t>》</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《中华人民共和国政府采购法》和《中华人民共和国建筑法》及其它有关法律、行政法规，为明确双方在施工过程中的权利、义务，经双方协商自愿签订本合同。</w:t>
      </w:r>
    </w:p>
    <w:p w14:paraId="69E2055D">
      <w:pPr>
        <w:keepNext w:val="0"/>
        <w:keepLines w:val="0"/>
        <w:pageBreakBefore w:val="0"/>
        <w:kinsoku/>
        <w:autoSpaceDE/>
        <w:autoSpaceDN/>
        <w:bidi w:val="0"/>
        <w:spacing w:line="360" w:lineRule="auto"/>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第一条  工程项目</w:t>
      </w:r>
    </w:p>
    <w:p w14:paraId="08E19147">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1、项目名称：正太路维修项目</w:t>
      </w:r>
    </w:p>
    <w:p w14:paraId="43E68A1B">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2、工程地点：</w:t>
      </w:r>
      <w:r>
        <w:rPr>
          <w:rFonts w:hint="eastAsia" w:ascii="仿宋" w:hAnsi="仿宋" w:eastAsia="仿宋" w:cs="仿宋"/>
          <w:bCs/>
          <w:color w:val="auto"/>
          <w:sz w:val="28"/>
          <w:szCs w:val="28"/>
          <w:highlight w:val="none"/>
          <w:u w:val="single"/>
          <w:lang w:val="en-US" w:eastAsia="zh-CN"/>
        </w:rPr>
        <w:t xml:space="preserve">     </w:t>
      </w:r>
    </w:p>
    <w:p w14:paraId="0CD9BD39">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eastAsia="zh-CN"/>
        </w:rPr>
        <w:t>3、工程</w:t>
      </w:r>
      <w:r>
        <w:rPr>
          <w:rFonts w:hint="eastAsia" w:ascii="仿宋" w:hAnsi="仿宋" w:eastAsia="仿宋" w:cs="仿宋"/>
          <w:bCs/>
          <w:color w:val="auto"/>
          <w:sz w:val="28"/>
          <w:szCs w:val="28"/>
          <w:highlight w:val="none"/>
          <w:lang w:val="en-US" w:eastAsia="zh-CN"/>
        </w:rPr>
        <w:t>内容</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lang w:val="en-US" w:eastAsia="zh-CN"/>
        </w:rPr>
        <w:t xml:space="preserve">     </w:t>
      </w:r>
    </w:p>
    <w:p w14:paraId="3FD1B417">
      <w:pPr>
        <w:keepNext w:val="0"/>
        <w:keepLines w:val="0"/>
        <w:pageBreakBefore w:val="0"/>
        <w:kinsoku/>
        <w:autoSpaceDE/>
        <w:autoSpaceDN/>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第二条  施工依据</w:t>
      </w:r>
    </w:p>
    <w:p w14:paraId="6254050F">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1、施工合同；</w:t>
      </w:r>
    </w:p>
    <w:p w14:paraId="7FCA967F">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2、成交通知书；</w:t>
      </w:r>
    </w:p>
    <w:p w14:paraId="542C3B83">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3、磋商响应文件及其附件；</w:t>
      </w:r>
    </w:p>
    <w:p w14:paraId="15ACAED2">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4、标准、规范及有关技术文件；</w:t>
      </w:r>
    </w:p>
    <w:p w14:paraId="5C7131FA">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5、工程量清单；</w:t>
      </w:r>
    </w:p>
    <w:p w14:paraId="3AEEC99F">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6、工程量清单报价；</w:t>
      </w:r>
    </w:p>
    <w:p w14:paraId="1B3AE2F0">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7、图纸（</w:t>
      </w:r>
      <w:r>
        <w:rPr>
          <w:rFonts w:hint="eastAsia" w:ascii="仿宋" w:hAnsi="仿宋" w:eastAsia="仿宋" w:cs="仿宋"/>
          <w:bCs/>
          <w:color w:val="auto"/>
          <w:sz w:val="28"/>
          <w:szCs w:val="28"/>
          <w:highlight w:val="none"/>
          <w:lang w:val="en-US" w:eastAsia="zh-CN"/>
        </w:rPr>
        <w:t>如有</w:t>
      </w:r>
      <w:r>
        <w:rPr>
          <w:rFonts w:hint="eastAsia" w:ascii="仿宋" w:hAnsi="仿宋" w:eastAsia="仿宋" w:cs="仿宋"/>
          <w:bCs/>
          <w:color w:val="auto"/>
          <w:sz w:val="28"/>
          <w:szCs w:val="28"/>
          <w:highlight w:val="none"/>
          <w:lang w:eastAsia="zh-CN"/>
        </w:rPr>
        <w:t>）；</w:t>
      </w:r>
    </w:p>
    <w:p w14:paraId="3B005E16">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8、双方有关工程的洽商、变更等书面协议或文件视为施工合同的组成部分。</w:t>
      </w:r>
    </w:p>
    <w:p w14:paraId="0B4697E1">
      <w:pPr>
        <w:keepNext w:val="0"/>
        <w:keepLines w:val="0"/>
        <w:pageBreakBefore w:val="0"/>
        <w:kinsoku/>
        <w:autoSpaceDE/>
        <w:autoSpaceDN/>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第三条  工程实施期限</w:t>
      </w:r>
    </w:p>
    <w:p w14:paraId="02C60AFD">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shd w:val="clear" w:color="auto" w:fill="FFFFFF"/>
          <w:lang w:eastAsia="zh-CN"/>
        </w:rPr>
      </w:pPr>
      <w:r>
        <w:rPr>
          <w:rFonts w:hint="eastAsia" w:ascii="仿宋" w:hAnsi="仿宋" w:eastAsia="仿宋" w:cs="仿宋"/>
          <w:bCs/>
          <w:color w:val="auto"/>
          <w:sz w:val="28"/>
          <w:szCs w:val="28"/>
          <w:highlight w:val="none"/>
          <w:lang w:eastAsia="zh-CN"/>
        </w:rPr>
        <w:t>1、工期：</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lang w:eastAsia="zh-CN"/>
        </w:rPr>
        <w:t>。</w:t>
      </w:r>
    </w:p>
    <w:p w14:paraId="1E5B2282">
      <w:pPr>
        <w:pStyle w:val="5"/>
        <w:keepNext w:val="0"/>
        <w:keepLines w:val="0"/>
        <w:pageBreakBefore w:val="0"/>
        <w:widowControl/>
        <w:shd w:val="clear" w:color="auto" w:fill="FFFFFF"/>
        <w:kinsoku/>
        <w:wordWrap w:val="0"/>
        <w:autoSpaceDE/>
        <w:autoSpaceDN/>
        <w:bidi w:val="0"/>
        <w:spacing w:line="360" w:lineRule="auto"/>
        <w:ind w:firstLine="560" w:firstLineChars="200"/>
        <w:jc w:val="left"/>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2、如遇下列情况，经甲方现场代表签证后，工期可相应顺延（顺延工期应由甲、乙双方共同签字确认）。</w:t>
      </w:r>
    </w:p>
    <w:p w14:paraId="378DE8EA">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2.1</w:t>
      </w:r>
      <w:r>
        <w:rPr>
          <w:rFonts w:hint="eastAsia" w:ascii="仿宋" w:hAnsi="仿宋" w:eastAsia="仿宋" w:cs="仿宋"/>
          <w:bCs/>
          <w:color w:val="auto"/>
          <w:sz w:val="28"/>
          <w:szCs w:val="28"/>
          <w:highlight w:val="none"/>
        </w:rPr>
        <w:t>、在施工中如因停电、停水８小时以上或连续间歇性停水、停电３天以上（每次连续４小时以上），影响正常施工；停水停电2天以上</w:t>
      </w:r>
      <w:r>
        <w:rPr>
          <w:rFonts w:hint="eastAsia" w:ascii="仿宋" w:hAnsi="仿宋" w:eastAsia="仿宋" w:cs="仿宋"/>
          <w:bCs/>
          <w:color w:val="auto"/>
          <w:sz w:val="28"/>
          <w:szCs w:val="28"/>
          <w:highlight w:val="none"/>
          <w:lang w:eastAsia="zh-CN"/>
        </w:rPr>
        <w:t>。</w:t>
      </w:r>
    </w:p>
    <w:p w14:paraId="09C52E8B">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2.2</w:t>
      </w:r>
      <w:r>
        <w:rPr>
          <w:rFonts w:hint="eastAsia" w:ascii="仿宋" w:hAnsi="仿宋" w:eastAsia="仿宋" w:cs="仿宋"/>
          <w:bCs/>
          <w:color w:val="auto"/>
          <w:sz w:val="28"/>
          <w:szCs w:val="28"/>
          <w:highlight w:val="none"/>
        </w:rPr>
        <w:t>、遇阴雨天及不可抗力因素以及非乙方施工因素影响</w:t>
      </w:r>
      <w:r>
        <w:rPr>
          <w:rFonts w:hint="eastAsia" w:ascii="仿宋" w:hAnsi="仿宋" w:eastAsia="仿宋" w:cs="仿宋"/>
          <w:bCs/>
          <w:color w:val="auto"/>
          <w:sz w:val="28"/>
          <w:szCs w:val="28"/>
          <w:highlight w:val="none"/>
          <w:lang w:eastAsia="zh-CN"/>
        </w:rPr>
        <w:t>。</w:t>
      </w:r>
    </w:p>
    <w:p w14:paraId="764AC44F">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2.3</w:t>
      </w:r>
      <w:r>
        <w:rPr>
          <w:rFonts w:hint="eastAsia" w:ascii="仿宋" w:hAnsi="仿宋" w:eastAsia="仿宋" w:cs="仿宋"/>
          <w:bCs/>
          <w:color w:val="auto"/>
          <w:sz w:val="28"/>
          <w:szCs w:val="28"/>
          <w:highlight w:val="none"/>
        </w:rPr>
        <w:t>、因人力不可抗拒的其他因素而延误工期。</w:t>
      </w:r>
    </w:p>
    <w:p w14:paraId="2E6DDA01">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bCs/>
          <w:color w:val="auto"/>
          <w:sz w:val="28"/>
          <w:szCs w:val="28"/>
          <w:highlight w:val="none"/>
          <w:lang w:eastAsia="zh-CN"/>
        </w:rPr>
        <w:t>3</w:t>
      </w:r>
      <w:r>
        <w:rPr>
          <w:rFonts w:hint="eastAsia" w:ascii="仿宋" w:hAnsi="仿宋" w:eastAsia="仿宋" w:cs="仿宋"/>
          <w:bCs/>
          <w:color w:val="auto"/>
          <w:sz w:val="28"/>
          <w:szCs w:val="28"/>
          <w:highlight w:val="none"/>
        </w:rPr>
        <w:t>、因乙方原因造成施工延迟的，不得请求顺延工期。</w:t>
      </w:r>
    </w:p>
    <w:p w14:paraId="19243C25">
      <w:pPr>
        <w:keepNext w:val="0"/>
        <w:keepLines w:val="0"/>
        <w:pageBreakBefore w:val="0"/>
        <w:kinsoku/>
        <w:wordWrap/>
        <w:overflowPunct/>
        <w:topLinePunct w:val="0"/>
        <w:autoSpaceDE/>
        <w:autoSpaceDN/>
        <w:bidi w:val="0"/>
        <w:snapToGrid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 xml:space="preserve">第四条  </w:t>
      </w:r>
      <w:r>
        <w:rPr>
          <w:rFonts w:hint="eastAsia" w:ascii="仿宋" w:hAnsi="仿宋" w:eastAsia="仿宋" w:cs="仿宋"/>
          <w:b/>
          <w:color w:val="auto"/>
          <w:sz w:val="28"/>
          <w:szCs w:val="28"/>
          <w:highlight w:val="none"/>
          <w:lang w:eastAsia="zh-CN"/>
        </w:rPr>
        <w:t>合同价款</w:t>
      </w:r>
      <w:r>
        <w:rPr>
          <w:rFonts w:hint="eastAsia" w:ascii="仿宋" w:hAnsi="仿宋" w:eastAsia="仿宋" w:cs="仿宋"/>
          <w:b/>
          <w:color w:val="auto"/>
          <w:sz w:val="28"/>
          <w:szCs w:val="28"/>
          <w:highlight w:val="none"/>
        </w:rPr>
        <w:t>、结算及付款方式</w:t>
      </w:r>
    </w:p>
    <w:p w14:paraId="58D245CA">
      <w:pPr>
        <w:keepNext w:val="0"/>
        <w:keepLines w:val="0"/>
        <w:pageBreakBefore w:val="0"/>
        <w:kinsoku/>
        <w:wordWrap/>
        <w:overflowPunct/>
        <w:topLinePunct w:val="0"/>
        <w:autoSpaceDE/>
        <w:autoSpaceDN/>
        <w:bidi w:val="0"/>
        <w:snapToGrid w:val="0"/>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1、合同金额（暂定）：大写（人民币）</w:t>
      </w:r>
      <w:r>
        <w:rPr>
          <w:rFonts w:hint="eastAsia" w:ascii="仿宋" w:hAnsi="仿宋" w:eastAsia="仿宋" w:cs="仿宋"/>
          <w:color w:val="auto"/>
          <w:sz w:val="28"/>
          <w:szCs w:val="28"/>
          <w:highlight w:val="none"/>
          <w:u w:val="single"/>
        </w:rPr>
        <w:t xml:space="preserve">     </w:t>
      </w:r>
      <w:r>
        <w:rPr>
          <w:rFonts w:hint="eastAsia" w:ascii="仿宋" w:hAnsi="仿宋" w:eastAsia="仿宋" w:cs="仿宋"/>
          <w:bCs/>
          <w:color w:val="auto"/>
          <w:sz w:val="28"/>
          <w:szCs w:val="28"/>
          <w:highlight w:val="none"/>
        </w:rPr>
        <w:t>元</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（小写）</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bCs/>
          <w:color w:val="auto"/>
          <w:sz w:val="28"/>
          <w:szCs w:val="28"/>
          <w:highlight w:val="none"/>
        </w:rPr>
        <w:t>元</w:t>
      </w:r>
    </w:p>
    <w:p w14:paraId="6298BE4C">
      <w:pPr>
        <w:pStyle w:val="3"/>
        <w:keepNext w:val="0"/>
        <w:keepLines w:val="0"/>
        <w:pageBreakBefore w:val="0"/>
        <w:widowControl w:val="0"/>
        <w:kinsoku/>
        <w:wordWrap/>
        <w:overflowPunct/>
        <w:topLinePunct w:val="0"/>
        <w:autoSpaceDE/>
        <w:autoSpaceDN/>
        <w:bidi w:val="0"/>
        <w:snapToGrid w:val="0"/>
        <w:spacing w:line="360" w:lineRule="auto"/>
        <w:ind w:firstLine="560" w:firstLineChars="200"/>
        <w:jc w:val="both"/>
        <w:textAlignment w:val="auto"/>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2、本合同价款采用全费用综合单价合同方式确定。具体报价明细详见附件。</w:t>
      </w:r>
    </w:p>
    <w:p w14:paraId="6D0EF90A">
      <w:pPr>
        <w:pStyle w:val="3"/>
        <w:keepNext w:val="0"/>
        <w:keepLines w:val="0"/>
        <w:pageBreakBefore w:val="0"/>
        <w:widowControl w:val="0"/>
        <w:kinsoku/>
        <w:wordWrap/>
        <w:overflowPunct/>
        <w:topLinePunct w:val="0"/>
        <w:autoSpaceDE/>
        <w:autoSpaceDN/>
        <w:bidi w:val="0"/>
        <w:snapToGrid w:val="0"/>
        <w:spacing w:line="360" w:lineRule="auto"/>
        <w:ind w:firstLine="560" w:firstLineChars="200"/>
        <w:jc w:val="both"/>
        <w:textAlignment w:val="auto"/>
        <w:rPr>
          <w:rFonts w:hint="eastAsia"/>
          <w:color w:val="auto"/>
          <w:highlight w:val="none"/>
          <w:lang w:val="en-US" w:eastAsia="zh-CN"/>
        </w:rPr>
      </w:pPr>
      <w:r>
        <w:rPr>
          <w:rFonts w:hint="eastAsia" w:ascii="仿宋" w:hAnsi="仿宋" w:eastAsia="仿宋" w:cs="仿宋"/>
          <w:snapToGrid w:val="0"/>
          <w:color w:val="auto"/>
          <w:sz w:val="28"/>
          <w:szCs w:val="28"/>
          <w:highlight w:val="none"/>
          <w:lang w:val="en-US" w:eastAsia="zh-CN" w:bidi="ar-SA"/>
        </w:rPr>
        <w:t>本合同价款为完成工作范围及要求的全部内容，并达到国家及甲方验收标准而产生的所有费用，包括但不限于以下内容：包括人工费、材料费、机械费、措施费、管理费、利润、规费、税金、风险、工程保险费、招标代理服务费、防污治霾费等完成本项目所产生的一切费用。</w:t>
      </w:r>
    </w:p>
    <w:p w14:paraId="4868289F">
      <w:pPr>
        <w:keepNext w:val="0"/>
        <w:keepLines w:val="0"/>
        <w:pageBreakBefore w:val="0"/>
        <w:kinsoku/>
        <w:wordWrap/>
        <w:overflowPunct/>
        <w:topLinePunct w:val="0"/>
        <w:bidi w:val="0"/>
        <w:snapToGrid w:val="0"/>
        <w:spacing w:line="360" w:lineRule="auto"/>
        <w:ind w:firstLine="560" w:firstLineChars="200"/>
        <w:rPr>
          <w:rFonts w:hint="eastAsia" w:ascii="仿宋" w:hAnsi="仿宋" w:eastAsia="仿宋" w:cs="仿宋"/>
          <w:snapToGrid w:val="0"/>
          <w:color w:val="auto"/>
          <w:sz w:val="28"/>
          <w:szCs w:val="28"/>
          <w:highlight w:val="none"/>
          <w:lang w:val="en-US" w:eastAsia="zh-CN" w:bidi="ar-SA"/>
        </w:rPr>
      </w:pPr>
      <w:r>
        <w:rPr>
          <w:rFonts w:hint="eastAsia" w:ascii="仿宋" w:hAnsi="仿宋" w:eastAsia="仿宋" w:cs="仿宋"/>
          <w:snapToGrid w:val="0"/>
          <w:color w:val="auto"/>
          <w:sz w:val="28"/>
          <w:szCs w:val="28"/>
          <w:highlight w:val="none"/>
          <w:lang w:val="en-US" w:eastAsia="zh-CN" w:bidi="ar-SA"/>
        </w:rPr>
        <w:t>3、付款方式：</w:t>
      </w:r>
    </w:p>
    <w:p w14:paraId="6476D9F4">
      <w:pPr>
        <w:keepNext w:val="0"/>
        <w:keepLines w:val="0"/>
        <w:pageBreakBefore w:val="0"/>
        <w:numPr>
          <w:ilvl w:val="255"/>
          <w:numId w:val="0"/>
        </w:numPr>
        <w:kinsoku/>
        <w:wordWrap/>
        <w:overflowPunct/>
        <w:topLinePunct w:val="0"/>
        <w:autoSpaceDE/>
        <w:autoSpaceDN/>
        <w:bidi w:val="0"/>
        <w:adjustRightInd/>
        <w:snapToGrid w:val="0"/>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（1）项目竣工验收合格及工程结算完成后30日内除留结算款的3%质保金外，将剩余应付工程款一次性支付。</w:t>
      </w:r>
    </w:p>
    <w:p w14:paraId="504DBC14">
      <w:pPr>
        <w:keepNext w:val="0"/>
        <w:keepLines w:val="0"/>
        <w:pageBreakBefore w:val="0"/>
        <w:numPr>
          <w:ilvl w:val="255"/>
          <w:numId w:val="0"/>
        </w:numPr>
        <w:kinsoku/>
        <w:wordWrap/>
        <w:overflowPunct/>
        <w:topLinePunct w:val="0"/>
        <w:autoSpaceDE/>
        <w:autoSpaceDN/>
        <w:bidi w:val="0"/>
        <w:adjustRightInd/>
        <w:snapToGrid w:val="0"/>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（2）工程完工，经验收合格出具竣工验收证书，且完工工程量及竣工结算总价经审核确定后支付至竣工结算总价的97%，剩余3%为质量保证金。缺陷责任期（24个月）满后，无质量问题后一次性无息支付。</w:t>
      </w:r>
    </w:p>
    <w:p w14:paraId="55277366">
      <w:pPr>
        <w:keepNext w:val="0"/>
        <w:keepLines w:val="0"/>
        <w:pageBreakBefore w:val="0"/>
        <w:numPr>
          <w:ilvl w:val="255"/>
          <w:numId w:val="0"/>
        </w:numPr>
        <w:kinsoku/>
        <w:wordWrap/>
        <w:overflowPunct/>
        <w:topLinePunct w:val="0"/>
        <w:autoSpaceDE/>
        <w:autoSpaceDN/>
        <w:bidi w:val="0"/>
        <w:adjustRightInd/>
        <w:snapToGrid w:val="0"/>
        <w:spacing w:line="360" w:lineRule="auto"/>
        <w:ind w:firstLine="56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（3）乙方应按照要求办理完所有手续后完成工程款结算并办理支付。每次支付前，乙方应提供符合甲方要求的等额增值税发票，否则甲方有权拒绝付款并不承担任何责任。</w:t>
      </w:r>
    </w:p>
    <w:p w14:paraId="7BAE2F51">
      <w:pPr>
        <w:keepNext w:val="0"/>
        <w:keepLines w:val="0"/>
        <w:pageBreakBefore w:val="0"/>
        <w:numPr>
          <w:ilvl w:val="255"/>
          <w:numId w:val="0"/>
        </w:numPr>
        <w:kinsoku/>
        <w:wordWrap/>
        <w:overflowPunct/>
        <w:topLinePunct w:val="0"/>
        <w:autoSpaceDE/>
        <w:autoSpaceDN/>
        <w:bidi w:val="0"/>
        <w:adjustRightInd/>
        <w:snapToGrid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、合同范围外变更价款调整方式：</w:t>
      </w:r>
    </w:p>
    <w:p w14:paraId="49D01DFA">
      <w:pPr>
        <w:keepNext w:val="0"/>
        <w:keepLines w:val="0"/>
        <w:pageBreakBefore w:val="0"/>
        <w:numPr>
          <w:ilvl w:val="255"/>
          <w:numId w:val="0"/>
        </w:numPr>
        <w:kinsoku/>
        <w:wordWrap/>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因非乙方原因的工程变更签证，造成增加新的工程量清单项目，其对应的综合单价按下列方法确定。</w:t>
      </w:r>
    </w:p>
    <w:p w14:paraId="664AC5D5">
      <w:pPr>
        <w:keepNext w:val="0"/>
        <w:keepLines w:val="0"/>
        <w:pageBreakBefore w:val="0"/>
        <w:numPr>
          <w:ilvl w:val="255"/>
          <w:numId w:val="0"/>
        </w:numPr>
        <w:kinsoku/>
        <w:wordWrap/>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1）合同中已有适用的综合单价，按合同中已有的综合单价确定；</w:t>
      </w:r>
    </w:p>
    <w:p w14:paraId="5455EE21">
      <w:pPr>
        <w:keepNext w:val="0"/>
        <w:keepLines w:val="0"/>
        <w:pageBreakBefore w:val="0"/>
        <w:numPr>
          <w:ilvl w:val="255"/>
          <w:numId w:val="0"/>
        </w:numPr>
        <w:kinsoku/>
        <w:wordWrap/>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2）合同中有类似的综合单价，参照类似的综合单价确定；</w:t>
      </w:r>
    </w:p>
    <w:p w14:paraId="4D00F6F3">
      <w:pPr>
        <w:keepNext w:val="0"/>
        <w:keepLines w:val="0"/>
        <w:pageBreakBefore w:val="0"/>
        <w:numPr>
          <w:ilvl w:val="255"/>
          <w:numId w:val="0"/>
        </w:numPr>
        <w:kinsoku/>
        <w:wordWrap/>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3）合同中没有适用或类似的综合单价，由乙方提出综合单价，甲方确认。</w:t>
      </w:r>
    </w:p>
    <w:p w14:paraId="73E2AD2A">
      <w:pPr>
        <w:keepNext w:val="0"/>
        <w:keepLines w:val="0"/>
        <w:pageBreakBefore w:val="0"/>
        <w:numPr>
          <w:ilvl w:val="255"/>
          <w:numId w:val="0"/>
        </w:numPr>
        <w:kinsoku/>
        <w:wordWrap/>
        <w:overflowPunct/>
        <w:topLinePunct w:val="0"/>
        <w:autoSpaceDE/>
        <w:autoSpaceDN/>
        <w:bidi w:val="0"/>
        <w:adjustRightInd/>
        <w:snapToGrid/>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lang w:eastAsia="zh-CN"/>
        </w:rPr>
        <w:t>工程竣工后，乙方应严格按照磋商文件及合同约定的计算方法编制竣工结算，</w:t>
      </w: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lang w:eastAsia="zh-CN"/>
        </w:rPr>
        <w:t>收到</w:t>
      </w:r>
      <w:r>
        <w:rPr>
          <w:rFonts w:hint="eastAsia" w:ascii="仿宋" w:hAnsi="仿宋" w:eastAsia="仿宋" w:cs="仿宋"/>
          <w:color w:val="auto"/>
          <w:sz w:val="28"/>
          <w:szCs w:val="28"/>
          <w:highlight w:val="none"/>
          <w:lang w:val="en-US" w:eastAsia="zh-CN"/>
        </w:rPr>
        <w:t>乙方</w:t>
      </w:r>
      <w:r>
        <w:rPr>
          <w:rFonts w:hint="eastAsia" w:ascii="仿宋" w:hAnsi="仿宋" w:eastAsia="仿宋" w:cs="仿宋"/>
          <w:color w:val="auto"/>
          <w:sz w:val="28"/>
          <w:szCs w:val="28"/>
          <w:highlight w:val="none"/>
          <w:lang w:eastAsia="zh-CN"/>
        </w:rPr>
        <w:t>递交的工程竣工结算报告及结算资料后，</w:t>
      </w:r>
      <w:r>
        <w:rPr>
          <w:rFonts w:hint="eastAsia" w:ascii="仿宋" w:hAnsi="仿宋" w:eastAsia="仿宋" w:cs="仿宋"/>
          <w:color w:val="auto"/>
          <w:sz w:val="28"/>
          <w:szCs w:val="28"/>
          <w:highlight w:val="none"/>
          <w:lang w:val="en-US" w:eastAsia="zh-CN"/>
        </w:rPr>
        <w:t>由财政部门委托有经验的造价咨询机构进行结算审核，</w:t>
      </w:r>
      <w:r>
        <w:rPr>
          <w:rFonts w:hint="eastAsia" w:ascii="仿宋" w:hAnsi="仿宋" w:eastAsia="仿宋" w:cs="仿宋"/>
          <w:color w:val="auto"/>
          <w:sz w:val="28"/>
          <w:szCs w:val="28"/>
          <w:highlight w:val="none"/>
          <w:lang w:eastAsia="zh-CN"/>
        </w:rPr>
        <w:t>如发生多估冒算，超出审核工程造价5%部分的审核成果费由乙方承担，甲方有权在结算工程价款时直接扣除。</w:t>
      </w:r>
    </w:p>
    <w:p w14:paraId="29A59025">
      <w:pPr>
        <w:keepNext w:val="0"/>
        <w:keepLines w:val="0"/>
        <w:pageBreakBefore w:val="0"/>
        <w:kinsoku/>
        <w:autoSpaceDE/>
        <w:autoSpaceDN/>
        <w:bidi w:val="0"/>
        <w:spacing w:line="36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w:t>
      </w:r>
      <w:r>
        <w:rPr>
          <w:rFonts w:hint="eastAsia" w:ascii="仿宋" w:hAnsi="仿宋" w:eastAsia="仿宋" w:cs="仿宋"/>
          <w:b/>
          <w:bCs/>
          <w:color w:val="auto"/>
          <w:sz w:val="28"/>
          <w:szCs w:val="28"/>
          <w:highlight w:val="none"/>
          <w:lang w:eastAsia="zh-CN"/>
        </w:rPr>
        <w:t>五</w:t>
      </w:r>
      <w:r>
        <w:rPr>
          <w:rFonts w:hint="eastAsia" w:ascii="仿宋" w:hAnsi="仿宋" w:eastAsia="仿宋" w:cs="仿宋"/>
          <w:b/>
          <w:bCs/>
          <w:color w:val="auto"/>
          <w:sz w:val="28"/>
          <w:szCs w:val="28"/>
          <w:highlight w:val="none"/>
        </w:rPr>
        <w:t>条  建筑材料、设备的供应和采购</w:t>
      </w:r>
    </w:p>
    <w:p w14:paraId="7362A74F">
      <w:pPr>
        <w:pStyle w:val="2"/>
        <w:keepNext w:val="0"/>
        <w:keepLines w:val="0"/>
        <w:pageBreakBefore w:val="0"/>
        <w:widowControl w:val="0"/>
        <w:kinsoku/>
        <w:autoSpaceDE/>
        <w:autoSpaceDN/>
        <w:bidi w:val="0"/>
        <w:adjustRightInd/>
        <w:spacing w:line="360" w:lineRule="auto"/>
        <w:ind w:firstLine="420" w:firstLineChars="150"/>
        <w:jc w:val="both"/>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1、工程材料、设备由乙方采购。</w:t>
      </w:r>
    </w:p>
    <w:p w14:paraId="61AC3578">
      <w:pPr>
        <w:pStyle w:val="2"/>
        <w:keepNext w:val="0"/>
        <w:keepLines w:val="0"/>
        <w:pageBreakBefore w:val="0"/>
        <w:widowControl w:val="0"/>
        <w:kinsoku/>
        <w:autoSpaceDE/>
        <w:autoSpaceDN/>
        <w:bidi w:val="0"/>
        <w:adjustRightInd/>
        <w:spacing w:line="360" w:lineRule="auto"/>
        <w:ind w:firstLine="420" w:firstLineChars="150"/>
        <w:jc w:val="both"/>
        <w:textAlignment w:val="auto"/>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4985F1C3">
      <w:pPr>
        <w:pStyle w:val="2"/>
        <w:keepNext w:val="0"/>
        <w:keepLines w:val="0"/>
        <w:pageBreakBefore w:val="0"/>
        <w:widowControl w:val="0"/>
        <w:kinsoku/>
        <w:autoSpaceDE/>
        <w:autoSpaceDN/>
        <w:bidi w:val="0"/>
        <w:adjustRightInd/>
        <w:spacing w:line="360" w:lineRule="auto"/>
        <w:ind w:firstLine="420" w:firstLineChars="150"/>
        <w:jc w:val="both"/>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3、本项目选用的主要工程材料、设备及重要部位的装饰材料，均应按规范进行见证取样、送检和试验，严禁将不合格的材料、设备用于本工程，乙方须报送甲方进行审核，甲方对选用的材料设备有认质和选用的决定权</w:t>
      </w:r>
      <w:r>
        <w:rPr>
          <w:rFonts w:hint="eastAsia" w:ascii="仿宋" w:hAnsi="仿宋" w:eastAsia="仿宋" w:cs="仿宋"/>
          <w:bCs/>
          <w:color w:val="auto"/>
          <w:sz w:val="28"/>
          <w:szCs w:val="28"/>
          <w:highlight w:val="none"/>
        </w:rPr>
        <w:t>。</w:t>
      </w:r>
    </w:p>
    <w:p w14:paraId="5F7784A9">
      <w:pPr>
        <w:keepNext w:val="0"/>
        <w:keepLines w:val="0"/>
        <w:pageBreakBefore w:val="0"/>
        <w:widowControl w:val="0"/>
        <w:kinsoku/>
        <w:autoSpaceDE/>
        <w:autoSpaceDN/>
        <w:bidi w:val="0"/>
        <w:adjustRightInd/>
        <w:spacing w:line="360" w:lineRule="auto"/>
        <w:jc w:val="both"/>
        <w:textAlignment w:val="auto"/>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六</w:t>
      </w:r>
      <w:r>
        <w:rPr>
          <w:rFonts w:hint="eastAsia" w:ascii="仿宋" w:hAnsi="仿宋" w:eastAsia="仿宋" w:cs="仿宋"/>
          <w:b/>
          <w:color w:val="auto"/>
          <w:sz w:val="28"/>
          <w:szCs w:val="28"/>
          <w:highlight w:val="none"/>
        </w:rPr>
        <w:t xml:space="preserve">条  </w:t>
      </w:r>
      <w:r>
        <w:rPr>
          <w:rFonts w:hint="eastAsia" w:ascii="仿宋" w:hAnsi="仿宋" w:eastAsia="仿宋" w:cs="仿宋"/>
          <w:b/>
          <w:color w:val="auto"/>
          <w:sz w:val="28"/>
          <w:szCs w:val="28"/>
          <w:highlight w:val="none"/>
          <w:lang w:eastAsia="zh-CN"/>
        </w:rPr>
        <w:t>本项目拟派主要人员</w:t>
      </w:r>
    </w:p>
    <w:p w14:paraId="3B98C858">
      <w:pPr>
        <w:keepNext w:val="0"/>
        <w:keepLines w:val="0"/>
        <w:pageBreakBefore w:val="0"/>
        <w:widowControl w:val="0"/>
        <w:kinsoku/>
        <w:autoSpaceDE/>
        <w:autoSpaceDN/>
        <w:bidi w:val="0"/>
        <w:adjustRightInd/>
        <w:spacing w:line="360" w:lineRule="auto"/>
        <w:ind w:firstLine="560" w:firstLineChars="200"/>
        <w:jc w:val="both"/>
        <w:textAlignment w:val="auto"/>
        <w:rPr>
          <w:rFonts w:hint="eastAsia" w:ascii="仿宋" w:hAnsi="仿宋" w:eastAsia="仿宋" w:cs="仿宋"/>
          <w:bCs/>
          <w:color w:val="auto"/>
          <w:sz w:val="28"/>
          <w:szCs w:val="28"/>
          <w:highlight w:val="none"/>
          <w:u w:val="single"/>
        </w:rPr>
      </w:pPr>
      <w:r>
        <w:rPr>
          <w:rFonts w:hint="eastAsia" w:ascii="仿宋" w:hAnsi="仿宋" w:eastAsia="仿宋" w:cs="仿宋"/>
          <w:bCs/>
          <w:color w:val="auto"/>
          <w:sz w:val="28"/>
          <w:szCs w:val="28"/>
          <w:highlight w:val="none"/>
          <w:lang w:eastAsia="zh-CN"/>
        </w:rPr>
        <w:t xml:space="preserve">1、 </w:t>
      </w:r>
      <w:r>
        <w:rPr>
          <w:rFonts w:hint="eastAsia" w:ascii="仿宋" w:hAnsi="仿宋" w:eastAsia="仿宋" w:cs="仿宋"/>
          <w:bCs/>
          <w:color w:val="auto"/>
          <w:sz w:val="28"/>
          <w:szCs w:val="28"/>
          <w:highlight w:val="none"/>
        </w:rPr>
        <w:t>拟派</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为项目经理，联系电话：</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，身份证号：</w:t>
      </w:r>
      <w:r>
        <w:rPr>
          <w:rFonts w:hint="eastAsia" w:ascii="仿宋" w:hAnsi="仿宋" w:eastAsia="仿宋" w:cs="仿宋"/>
          <w:bCs/>
          <w:color w:val="auto"/>
          <w:sz w:val="28"/>
          <w:szCs w:val="28"/>
          <w:highlight w:val="none"/>
          <w:u w:val="single"/>
        </w:rPr>
        <w:t xml:space="preserve">            ；</w:t>
      </w:r>
    </w:p>
    <w:p w14:paraId="238E8A12">
      <w:pPr>
        <w:keepNext w:val="0"/>
        <w:keepLines w:val="0"/>
        <w:pageBreakBefore w:val="0"/>
        <w:widowControl w:val="0"/>
        <w:kinsoku/>
        <w:autoSpaceDE/>
        <w:autoSpaceDN/>
        <w:bidi w:val="0"/>
        <w:adjustRightInd/>
        <w:spacing w:line="360" w:lineRule="auto"/>
        <w:ind w:firstLine="560" w:firstLineChars="200"/>
        <w:jc w:val="both"/>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2、</w:t>
      </w:r>
      <w:r>
        <w:rPr>
          <w:rFonts w:hint="eastAsia" w:ascii="仿宋" w:hAnsi="仿宋" w:eastAsia="仿宋" w:cs="仿宋"/>
          <w:bCs/>
          <w:color w:val="auto"/>
          <w:sz w:val="28"/>
          <w:szCs w:val="28"/>
          <w:highlight w:val="none"/>
        </w:rPr>
        <w:t>拟派</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为技术负责人，联系电话：</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，身份证号：</w:t>
      </w:r>
      <w:r>
        <w:rPr>
          <w:rFonts w:hint="eastAsia" w:ascii="仿宋" w:hAnsi="仿宋" w:eastAsia="仿宋" w:cs="仿宋"/>
          <w:bCs/>
          <w:color w:val="auto"/>
          <w:sz w:val="28"/>
          <w:szCs w:val="28"/>
          <w:highlight w:val="none"/>
          <w:u w:val="single"/>
        </w:rPr>
        <w:t xml:space="preserve">            。</w:t>
      </w:r>
    </w:p>
    <w:p w14:paraId="0B17C355">
      <w:pPr>
        <w:keepNext w:val="0"/>
        <w:keepLines w:val="0"/>
        <w:pageBreakBefore w:val="0"/>
        <w:kinsoku/>
        <w:autoSpaceDE/>
        <w:autoSpaceDN/>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七</w:t>
      </w:r>
      <w:r>
        <w:rPr>
          <w:rFonts w:hint="eastAsia" w:ascii="仿宋" w:hAnsi="仿宋" w:eastAsia="仿宋" w:cs="仿宋"/>
          <w:b/>
          <w:color w:val="auto"/>
          <w:sz w:val="28"/>
          <w:szCs w:val="28"/>
          <w:highlight w:val="none"/>
        </w:rPr>
        <w:t>条  工程质量管理及验收</w:t>
      </w:r>
    </w:p>
    <w:p w14:paraId="7DEC3C7A">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1、执行规范包括不限于：</w:t>
      </w:r>
    </w:p>
    <w:p w14:paraId="5D276919">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（1）《中华人民共和国建筑法》</w:t>
      </w:r>
    </w:p>
    <w:p w14:paraId="1DCE31D7">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（2）《市政道路工程质量检验评定标准》(CJJ1-90)</w:t>
      </w:r>
    </w:p>
    <w:p w14:paraId="49087A38">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（3）《市政道路工程施工质量验收规范》（CJJ-2008）</w:t>
      </w:r>
    </w:p>
    <w:p w14:paraId="478AA16B">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（4）《给水排水管道工程施工及验收规范》（GB50268-2008）</w:t>
      </w:r>
    </w:p>
    <w:p w14:paraId="3B8022D9">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（5）《城市桥梁工程施工与质量验收规范》（CJJ2-2008）</w:t>
      </w:r>
    </w:p>
    <w:p w14:paraId="5FB7E061">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（6）《建设工程质量管理条例》（国务院279号）</w:t>
      </w:r>
    </w:p>
    <w:p w14:paraId="6600B4D0">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（7）《建设工程安全生产管理条例》（国务院393号）</w:t>
      </w:r>
    </w:p>
    <w:p w14:paraId="637052F9">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备注：凡涉及的相关规范，国家有最新标准的以最新标准为准。</w:t>
      </w:r>
    </w:p>
    <w:p w14:paraId="396834A9">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2、工程具备隐蔽条件，乙方先进行自检，并在隐蔽验收前48小时以书面形式通知甲方验收。验收合格，甲方现场代表在验收记录上签字后，乙方可进行隐蔽和继续施工。验收不合格，乙方予以整改后再交由甲方重新验收。</w:t>
      </w:r>
    </w:p>
    <w:p w14:paraId="18BA2B87">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3、</w:t>
      </w:r>
      <w:r>
        <w:rPr>
          <w:rFonts w:hint="eastAsia" w:ascii="仿宋" w:hAnsi="仿宋" w:eastAsia="仿宋" w:cs="仿宋"/>
          <w:color w:val="auto"/>
          <w:sz w:val="28"/>
          <w:szCs w:val="28"/>
          <w:highlight w:val="none"/>
          <w:lang w:eastAsia="zh-CN"/>
        </w:rPr>
        <w:t>工程具备竣工验收条件，乙方按国家工程竣工验收有关规定，向甲方提供完整竣工资料及竣工验收报告（含竣工图、隐蔽工程签证和现场签证单及保修书等）。验收合格的，双方进行交接，验收不合格的，乙方应及时返工，费用由乙方自行承担，返工导致工期延误的，乙方应承担相应的违约责任</w:t>
      </w:r>
      <w:r>
        <w:rPr>
          <w:rFonts w:hint="eastAsia" w:ascii="仿宋" w:hAnsi="仿宋" w:eastAsia="仿宋" w:cs="仿宋"/>
          <w:bCs/>
          <w:color w:val="auto"/>
          <w:sz w:val="28"/>
          <w:szCs w:val="28"/>
          <w:highlight w:val="none"/>
          <w:lang w:eastAsia="zh-CN"/>
        </w:rPr>
        <w:t>。</w:t>
      </w:r>
    </w:p>
    <w:p w14:paraId="73A9BE28">
      <w:pPr>
        <w:keepNext w:val="0"/>
        <w:keepLines w:val="0"/>
        <w:pageBreakBefore w:val="0"/>
        <w:widowControl/>
        <w:kinsoku/>
        <w:wordWrap/>
        <w:overflowPunct/>
        <w:topLinePunct w:val="0"/>
        <w:autoSpaceDE/>
        <w:autoSpaceDN/>
        <w:bidi w:val="0"/>
        <w:adjustRightInd w:val="0"/>
        <w:snapToGrid w:val="0"/>
        <w:spacing w:line="360" w:lineRule="auto"/>
        <w:ind w:firstLine="560" w:firstLineChars="200"/>
        <w:textAlignment w:val="baseline"/>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lang w:eastAsia="zh-CN"/>
        </w:rPr>
        <w:t>4、符合国家及行业规定的“合格”标准。</w:t>
      </w:r>
    </w:p>
    <w:p w14:paraId="1AE6B999">
      <w:pPr>
        <w:keepNext w:val="0"/>
        <w:keepLines w:val="0"/>
        <w:pageBreakBefore w:val="0"/>
        <w:kinsoku/>
        <w:autoSpaceDE/>
        <w:autoSpaceDN/>
        <w:bidi w:val="0"/>
        <w:spacing w:line="360" w:lineRule="auto"/>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八</w:t>
      </w:r>
      <w:r>
        <w:rPr>
          <w:rFonts w:hint="eastAsia" w:ascii="仿宋" w:hAnsi="仿宋" w:eastAsia="仿宋" w:cs="仿宋"/>
          <w:b/>
          <w:color w:val="auto"/>
          <w:sz w:val="28"/>
          <w:szCs w:val="28"/>
          <w:highlight w:val="none"/>
        </w:rPr>
        <w:t>条  安全施工</w:t>
      </w:r>
    </w:p>
    <w:p w14:paraId="754D15C8">
      <w:pPr>
        <w:pStyle w:val="6"/>
        <w:keepNext w:val="0"/>
        <w:keepLines w:val="0"/>
        <w:pageBreakBefore w:val="0"/>
        <w:widowControl w:val="0"/>
        <w:kinsoku/>
        <w:autoSpaceDE/>
        <w:autoSpaceDN/>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乙方应遵守工程建设安全生产有关管理规定，严格按安全标准组织施工，采取必要的安全防护措施，消除事故隐患。由于乙方安全措施不力造成事故的责任和因此发生的费用，由乙方承担。</w:t>
      </w:r>
    </w:p>
    <w:p w14:paraId="05507E21">
      <w:pPr>
        <w:keepNext w:val="0"/>
        <w:keepLines w:val="0"/>
        <w:pageBreakBefore w:val="0"/>
        <w:kinsoku/>
        <w:autoSpaceDE/>
        <w:autoSpaceDN/>
        <w:bidi w:val="0"/>
        <w:spacing w:line="36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eastAsia="zh-CN"/>
        </w:rPr>
        <w:t xml:space="preserve">第九条  </w:t>
      </w:r>
      <w:r>
        <w:rPr>
          <w:rFonts w:hint="eastAsia" w:ascii="仿宋" w:hAnsi="仿宋" w:eastAsia="仿宋" w:cs="仿宋"/>
          <w:b/>
          <w:bCs/>
          <w:color w:val="auto"/>
          <w:sz w:val="28"/>
          <w:szCs w:val="28"/>
          <w:highlight w:val="none"/>
        </w:rPr>
        <w:t>质量保修</w:t>
      </w:r>
    </w:p>
    <w:p w14:paraId="0B130EF5">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1</w:t>
      </w:r>
      <w:r>
        <w:rPr>
          <w:rFonts w:hint="eastAsia" w:ascii="仿宋" w:hAnsi="仿宋" w:eastAsia="仿宋" w:cs="仿宋"/>
          <w:color w:val="auto"/>
          <w:sz w:val="28"/>
          <w:szCs w:val="28"/>
          <w:highlight w:val="none"/>
        </w:rPr>
        <w:t>、本工程</w:t>
      </w:r>
      <w:r>
        <w:rPr>
          <w:rFonts w:hint="eastAsia" w:ascii="仿宋" w:hAnsi="仿宋" w:eastAsia="仿宋" w:cs="仿宋"/>
          <w:color w:val="auto"/>
          <w:sz w:val="28"/>
          <w:szCs w:val="28"/>
          <w:highlight w:val="none"/>
          <w:lang w:eastAsia="zh-CN"/>
        </w:rPr>
        <w:t>质保期</w:t>
      </w:r>
      <w:r>
        <w:rPr>
          <w:rFonts w:hint="eastAsia" w:ascii="仿宋" w:hAnsi="仿宋" w:eastAsia="仿宋" w:cs="仿宋"/>
          <w:color w:val="auto"/>
          <w:sz w:val="28"/>
          <w:szCs w:val="28"/>
          <w:highlight w:val="none"/>
        </w:rPr>
        <w:t>自工程</w:t>
      </w:r>
      <w:r>
        <w:rPr>
          <w:rFonts w:hint="eastAsia" w:ascii="仿宋" w:hAnsi="仿宋" w:eastAsia="仿宋" w:cs="仿宋"/>
          <w:color w:val="auto"/>
          <w:sz w:val="28"/>
          <w:szCs w:val="28"/>
          <w:highlight w:val="none"/>
          <w:lang w:val="en-US" w:eastAsia="zh-CN"/>
        </w:rPr>
        <w:t>竣工</w:t>
      </w:r>
      <w:r>
        <w:rPr>
          <w:rFonts w:hint="eastAsia" w:ascii="仿宋" w:hAnsi="仿宋" w:eastAsia="仿宋" w:cs="仿宋"/>
          <w:color w:val="auto"/>
          <w:sz w:val="28"/>
          <w:szCs w:val="28"/>
          <w:highlight w:val="none"/>
        </w:rPr>
        <w:t>验收合格</w:t>
      </w:r>
      <w:r>
        <w:rPr>
          <w:rFonts w:hint="eastAsia" w:ascii="仿宋" w:hAnsi="仿宋" w:eastAsia="仿宋" w:cs="仿宋"/>
          <w:color w:val="auto"/>
          <w:sz w:val="28"/>
          <w:szCs w:val="28"/>
          <w:highlight w:val="none"/>
          <w:lang w:eastAsia="zh-CN"/>
        </w:rPr>
        <w:t>之日</w:t>
      </w:r>
      <w:r>
        <w:rPr>
          <w:rFonts w:hint="eastAsia" w:ascii="仿宋" w:hAnsi="仿宋" w:eastAsia="仿宋" w:cs="仿宋"/>
          <w:color w:val="auto"/>
          <w:sz w:val="28"/>
          <w:szCs w:val="28"/>
          <w:highlight w:val="none"/>
        </w:rPr>
        <w:t>起算。</w:t>
      </w:r>
    </w:p>
    <w:p w14:paraId="20904EE3">
      <w:pPr>
        <w:keepNext w:val="0"/>
        <w:keepLines w:val="0"/>
        <w:pageBreakBefore w:val="0"/>
        <w:kinsoku/>
        <w:autoSpaceDE/>
        <w:autoSpaceDN/>
        <w:bidi w:val="0"/>
        <w:spacing w:line="360" w:lineRule="auto"/>
        <w:ind w:firstLine="560" w:firstLineChars="200"/>
        <w:rPr>
          <w:rFonts w:hint="default"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lang w:eastAsia="zh-CN"/>
        </w:rPr>
        <w:t>2</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质保期：</w:t>
      </w:r>
      <w:r>
        <w:rPr>
          <w:rFonts w:hint="eastAsia" w:ascii="仿宋" w:hAnsi="仿宋" w:eastAsia="仿宋" w:cs="仿宋"/>
          <w:color w:val="auto"/>
          <w:sz w:val="28"/>
          <w:szCs w:val="28"/>
          <w:highlight w:val="none"/>
          <w:u w:val="single"/>
          <w:lang w:val="en-US" w:eastAsia="zh-CN"/>
        </w:rPr>
        <w:t xml:space="preserve">                      </w:t>
      </w:r>
    </w:p>
    <w:p w14:paraId="75DA5904">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在质保期内因质量问题伤人及伤物等问题由乙方负责维修并承担相关责任及费用。</w:t>
      </w:r>
    </w:p>
    <w:p w14:paraId="3A47C72E">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3</w:t>
      </w:r>
      <w:r>
        <w:rPr>
          <w:rFonts w:hint="eastAsia" w:ascii="仿宋" w:hAnsi="仿宋" w:eastAsia="仿宋" w:cs="仿宋"/>
          <w:color w:val="auto"/>
          <w:sz w:val="28"/>
          <w:szCs w:val="28"/>
          <w:highlight w:val="none"/>
        </w:rPr>
        <w:t>、在免费保修期内，乙方应保证通讯畅通，令甲方能够随时同乙方取得联系。乙方在接到甲方维修通知后24小时内到达现场并及时处理。如乙方更换保修人员或联系电话，应及时通知甲方。若因乙方通讯不畅或故意不接，拖延推诿，甲方将视为乙方放弃保修责任，有权自行解决，由乙方承担所有费用</w:t>
      </w:r>
      <w:r>
        <w:rPr>
          <w:rFonts w:hint="eastAsia" w:ascii="仿宋" w:hAnsi="仿宋" w:eastAsia="仿宋" w:cs="仿宋"/>
          <w:color w:val="auto"/>
          <w:sz w:val="28"/>
          <w:szCs w:val="28"/>
          <w:highlight w:val="none"/>
          <w:lang w:eastAsia="zh-CN"/>
        </w:rPr>
        <w:t>及责任</w:t>
      </w:r>
      <w:r>
        <w:rPr>
          <w:rFonts w:hint="eastAsia" w:ascii="仿宋" w:hAnsi="仿宋" w:eastAsia="仿宋" w:cs="仿宋"/>
          <w:color w:val="auto"/>
          <w:sz w:val="28"/>
          <w:szCs w:val="28"/>
          <w:highlight w:val="none"/>
        </w:rPr>
        <w:t>并加收</w:t>
      </w:r>
      <w:r>
        <w:rPr>
          <w:rFonts w:hint="eastAsia" w:ascii="仿宋" w:hAnsi="仿宋" w:eastAsia="仿宋" w:cs="仿宋"/>
          <w:color w:val="auto"/>
          <w:sz w:val="28"/>
          <w:szCs w:val="28"/>
          <w:highlight w:val="none"/>
          <w:lang w:eastAsia="zh-CN"/>
        </w:rPr>
        <w:t>3</w:t>
      </w:r>
      <w:r>
        <w:rPr>
          <w:rFonts w:hint="eastAsia" w:ascii="仿宋" w:hAnsi="仿宋" w:eastAsia="仿宋" w:cs="仿宋"/>
          <w:color w:val="auto"/>
          <w:sz w:val="28"/>
          <w:szCs w:val="28"/>
          <w:highlight w:val="none"/>
        </w:rPr>
        <w:t>%的劳务费。</w:t>
      </w:r>
    </w:p>
    <w:p w14:paraId="5654E876">
      <w:pPr>
        <w:pStyle w:val="6"/>
        <w:keepNext w:val="0"/>
        <w:keepLines w:val="0"/>
        <w:pageBreakBefore w:val="0"/>
        <w:widowControl w:val="0"/>
        <w:kinsoku/>
        <w:autoSpaceDE/>
        <w:autoSpaceDN/>
        <w:bidi w:val="0"/>
        <w:spacing w:line="360" w:lineRule="auto"/>
        <w:ind w:firstLine="560" w:firstLineChars="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乙方保修联系电话：</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；乙方保修联系人：</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w:t>
      </w:r>
    </w:p>
    <w:p w14:paraId="567AE148">
      <w:pPr>
        <w:keepNext w:val="0"/>
        <w:keepLines w:val="0"/>
        <w:pageBreakBefore w:val="0"/>
        <w:kinsoku/>
        <w:autoSpaceDE/>
        <w:autoSpaceDN/>
        <w:bidi w:val="0"/>
        <w:spacing w:line="360" w:lineRule="auto"/>
        <w:jc w:val="both"/>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十</w:t>
      </w:r>
      <w:r>
        <w:rPr>
          <w:rFonts w:hint="eastAsia" w:ascii="仿宋" w:hAnsi="仿宋" w:eastAsia="仿宋" w:cs="仿宋"/>
          <w:b/>
          <w:color w:val="auto"/>
          <w:sz w:val="28"/>
          <w:szCs w:val="28"/>
          <w:highlight w:val="none"/>
        </w:rPr>
        <w:t>条</w:t>
      </w:r>
      <w:r>
        <w:rPr>
          <w:rFonts w:hint="eastAsia" w:ascii="仿宋" w:hAnsi="仿宋" w:eastAsia="仿宋" w:cs="仿宋"/>
          <w:b/>
          <w:color w:val="auto"/>
          <w:sz w:val="28"/>
          <w:szCs w:val="28"/>
          <w:highlight w:val="none"/>
          <w:lang w:eastAsia="zh-CN"/>
        </w:rPr>
        <w:t xml:space="preserve">  </w:t>
      </w:r>
      <w:r>
        <w:rPr>
          <w:rFonts w:hint="eastAsia" w:ascii="仿宋" w:hAnsi="仿宋" w:eastAsia="仿宋" w:cs="仿宋"/>
          <w:b/>
          <w:color w:val="auto"/>
          <w:sz w:val="28"/>
          <w:szCs w:val="28"/>
          <w:highlight w:val="none"/>
        </w:rPr>
        <w:t>双方的权利和义务</w:t>
      </w:r>
    </w:p>
    <w:p w14:paraId="03AF0FFC">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1、甲方的权利与义务</w:t>
      </w:r>
    </w:p>
    <w:p w14:paraId="6D8E940B">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（1）协助提供施工所需水、电、但具体费用由乙方承担；</w:t>
      </w:r>
    </w:p>
    <w:p w14:paraId="17D895A6">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（2）协助切断水、电源、为乙方创造必要的施工条件；</w:t>
      </w:r>
    </w:p>
    <w:p w14:paraId="692BFC27">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（3）按安全文明施工的规定，督促乙方落实安全施工、文明施工措施；</w:t>
      </w:r>
    </w:p>
    <w:p w14:paraId="5563D986">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（4）对工作提出指导性建议或意见促使施工顺利进行；</w:t>
      </w:r>
    </w:p>
    <w:p w14:paraId="474DAEB9">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（5）负责现场工作的监督、检查；</w:t>
      </w:r>
    </w:p>
    <w:p w14:paraId="0B1EE74A">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（6）负责组织相关力量对工作结束后的场地进行验收；</w:t>
      </w:r>
    </w:p>
    <w:p w14:paraId="4BAAE025">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（7）按约定支付工程款并索取相应的发票；</w:t>
      </w:r>
    </w:p>
    <w:p w14:paraId="3CB2A008">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（8）根据工程范围内的具体要求，安排乙方完成与上述工作有关的临时性任务。</w:t>
      </w:r>
    </w:p>
    <w:p w14:paraId="2971BC61">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2、乙方的权利与义务</w:t>
      </w:r>
    </w:p>
    <w:p w14:paraId="26DCD69A">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（1）乙方应设置施工过程中必要的办公场所，并保证所有参与上述工作的人员必须统一着装，配挂“工作人员”胸牌;</w:t>
      </w:r>
    </w:p>
    <w:p w14:paraId="072D5033">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（2）每日向甲方提供进度计划，统计报表和工程事故报告，遵守有关部门对施工场地、交通、噪音等的管理规定;</w:t>
      </w:r>
    </w:p>
    <w:p w14:paraId="7FDD0581">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（3）保证施工现场清洁，负责</w:t>
      </w:r>
      <w:r>
        <w:rPr>
          <w:rFonts w:hint="eastAsia" w:ascii="仿宋" w:hAnsi="仿宋" w:eastAsia="仿宋" w:cs="仿宋"/>
          <w:bCs/>
          <w:color w:val="auto"/>
          <w:sz w:val="28"/>
          <w:szCs w:val="28"/>
          <w:highlight w:val="none"/>
          <w:lang w:eastAsia="zh-CN"/>
        </w:rPr>
        <w:t>路</w:t>
      </w:r>
      <w:r>
        <w:rPr>
          <w:rFonts w:hint="eastAsia" w:ascii="仿宋" w:hAnsi="仿宋" w:eastAsia="仿宋" w:cs="仿宋"/>
          <w:bCs/>
          <w:color w:val="auto"/>
          <w:sz w:val="28"/>
          <w:szCs w:val="28"/>
          <w:highlight w:val="none"/>
        </w:rPr>
        <w:t>面维修工作;</w:t>
      </w:r>
    </w:p>
    <w:p w14:paraId="142172B0">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（4）按照国家政策、法规及甲方确认的施工组织设计或施工总体方案进行文明动员、文明施工；</w:t>
      </w:r>
    </w:p>
    <w:p w14:paraId="7AD8FCC4">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（5）遵守安全防护和文明施工的规定，建立健全安全防护和文明施工的制度，设专职安全员，负责维护施工现场安全，做到安全文明施工等;</w:t>
      </w:r>
    </w:p>
    <w:p w14:paraId="1F88191F">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（6）完善安全防护和文明施工条件，施工机械、设备须检验报告,严格按照安全防护和文明施工的规定组织施工，采取必要的安全防护措施，消除安全事故隐患;</w:t>
      </w:r>
    </w:p>
    <w:p w14:paraId="47D02431">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7）在工程实施期间，乙方应做好施工现场的安全警示标志、安全通道的合理布置、材料与设备的存放与保管、消防设施的安全有效、施工现场的照明与防护以及政府有关部门关于安全防护、文明施工规定的其他工作;</w:t>
      </w:r>
    </w:p>
    <w:p w14:paraId="1FD04BBB">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（8）按约定收取工程款并出具相应的发票;</w:t>
      </w:r>
    </w:p>
    <w:p w14:paraId="5D436E30">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（9）工作人员应服从甲方的领导、监督和管理，遵守工作制度和纪律，依法施工，文明施工;</w:t>
      </w:r>
    </w:p>
    <w:p w14:paraId="4A93F5A3">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（10）施工过程中发生的各种不安全事故或人员伤亡，造成的责任、费用等由乙方完全承担;</w:t>
      </w:r>
    </w:p>
    <w:p w14:paraId="2BD0C6FD">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（11）指派专职项目经理负责联系和工程施工工作的有关事项，参加协调会，协调合同执行过程中遇到的问题，并配备专职安全员每日巡视现场，安全员必须持证上岗;</w:t>
      </w:r>
    </w:p>
    <w:p w14:paraId="3E24CB2E">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（12）及时向甲方汇报施工进度及安全情况；</w:t>
      </w:r>
    </w:p>
    <w:p w14:paraId="2348E7B1">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（13）完成甲方交办的与工程范围内有关的其它临时性工作。</w:t>
      </w:r>
    </w:p>
    <w:p w14:paraId="2B72E8FC">
      <w:pPr>
        <w:keepNext w:val="0"/>
        <w:keepLines w:val="0"/>
        <w:pageBreakBefore w:val="0"/>
        <w:kinsoku/>
        <w:autoSpaceDE/>
        <w:autoSpaceDN/>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第十</w:t>
      </w:r>
      <w:r>
        <w:rPr>
          <w:rFonts w:hint="eastAsia" w:ascii="仿宋" w:hAnsi="仿宋" w:eastAsia="仿宋" w:cs="仿宋"/>
          <w:b/>
          <w:color w:val="auto"/>
          <w:sz w:val="28"/>
          <w:szCs w:val="28"/>
          <w:highlight w:val="none"/>
          <w:lang w:eastAsia="zh-CN"/>
        </w:rPr>
        <w:t>一</w:t>
      </w:r>
      <w:r>
        <w:rPr>
          <w:rFonts w:hint="eastAsia" w:ascii="仿宋" w:hAnsi="仿宋" w:eastAsia="仿宋" w:cs="仿宋"/>
          <w:b/>
          <w:color w:val="auto"/>
          <w:sz w:val="28"/>
          <w:szCs w:val="28"/>
          <w:highlight w:val="none"/>
        </w:rPr>
        <w:t>条 违约责任</w:t>
      </w:r>
    </w:p>
    <w:p w14:paraId="43701D0B">
      <w:pPr>
        <w:keepNext w:val="0"/>
        <w:keepLines w:val="0"/>
        <w:pageBreakBefore w:val="0"/>
        <w:widowControl w:val="0"/>
        <w:kinsoku/>
        <w:autoSpaceDE/>
        <w:autoSpaceDN/>
        <w:bidi w:val="0"/>
        <w:adjustRightInd/>
        <w:spacing w:line="360" w:lineRule="auto"/>
        <w:ind w:firstLine="562" w:firstLineChars="200"/>
        <w:textAlignment w:val="auto"/>
        <w:rPr>
          <w:rFonts w:hint="eastAsia" w:ascii="仿宋" w:hAnsi="仿宋" w:eastAsia="仿宋" w:cs="仿宋"/>
          <w:b/>
          <w:bCs w:val="0"/>
          <w:color w:val="auto"/>
          <w:sz w:val="28"/>
          <w:szCs w:val="28"/>
          <w:highlight w:val="none"/>
        </w:rPr>
      </w:pPr>
      <w:r>
        <w:rPr>
          <w:rFonts w:hint="eastAsia" w:ascii="仿宋" w:hAnsi="仿宋" w:eastAsia="仿宋" w:cs="仿宋"/>
          <w:b/>
          <w:bCs w:val="0"/>
          <w:color w:val="auto"/>
          <w:sz w:val="28"/>
          <w:szCs w:val="28"/>
          <w:highlight w:val="none"/>
          <w:lang w:val="en-US" w:eastAsia="zh-CN"/>
        </w:rPr>
        <w:t>一、甲方</w:t>
      </w:r>
      <w:r>
        <w:rPr>
          <w:rFonts w:hint="eastAsia" w:ascii="仿宋" w:hAnsi="仿宋" w:eastAsia="仿宋" w:cs="仿宋"/>
          <w:b/>
          <w:bCs w:val="0"/>
          <w:color w:val="auto"/>
          <w:sz w:val="28"/>
          <w:szCs w:val="28"/>
          <w:highlight w:val="none"/>
        </w:rPr>
        <w:t>的违约责任：</w:t>
      </w:r>
    </w:p>
    <w:p w14:paraId="5FD8E888">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甲方</w:t>
      </w:r>
      <w:r>
        <w:rPr>
          <w:rFonts w:hint="eastAsia" w:ascii="仿宋" w:hAnsi="仿宋" w:eastAsia="仿宋" w:cs="仿宋"/>
          <w:bCs/>
          <w:color w:val="auto"/>
          <w:sz w:val="28"/>
          <w:szCs w:val="28"/>
          <w:highlight w:val="none"/>
        </w:rPr>
        <w:t>未履行本合同义务的，应承担相应的责任。</w:t>
      </w:r>
    </w:p>
    <w:p w14:paraId="0F6035B0">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（1）未能按承包合同的约定履行自己应负的责任。除竣工日期得以顺延外，还应赔偿因此发生的实际损失；</w:t>
      </w:r>
    </w:p>
    <w:p w14:paraId="495BAFB3">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（2）工程中途停建、缓建或由于设计变更以及设计错误造成的返工，应采取措施弥补或减少损失。同时，赔偿乙方由此而造成的停工、窝工、返工、倒运、人员与机械设备调迁、材料与构件积压的实际损失；</w:t>
      </w:r>
    </w:p>
    <w:p w14:paraId="48A0F8E9">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val="en-US" w:eastAsia="zh-CN"/>
        </w:rPr>
        <w:t>（3）工程未经验收，甲方提前使用或擅自动用，因此而发生的质量或其它问题，由甲方承担责任。</w:t>
      </w:r>
    </w:p>
    <w:p w14:paraId="4C2CCE32">
      <w:pPr>
        <w:keepNext w:val="0"/>
        <w:keepLines w:val="0"/>
        <w:pageBreakBefore w:val="0"/>
        <w:widowControl w:val="0"/>
        <w:kinsoku/>
        <w:autoSpaceDE/>
        <w:autoSpaceDN/>
        <w:bidi w:val="0"/>
        <w:adjustRightInd/>
        <w:spacing w:line="360" w:lineRule="auto"/>
        <w:ind w:firstLine="562" w:firstLineChars="200"/>
        <w:textAlignment w:val="auto"/>
        <w:rPr>
          <w:rFonts w:hint="eastAsia" w:ascii="仿宋" w:hAnsi="仿宋" w:eastAsia="仿宋" w:cs="仿宋"/>
          <w:b/>
          <w:bCs w:val="0"/>
          <w:color w:val="auto"/>
          <w:sz w:val="28"/>
          <w:szCs w:val="28"/>
          <w:highlight w:val="none"/>
          <w:lang w:eastAsia="zh-CN"/>
        </w:rPr>
      </w:pPr>
      <w:r>
        <w:rPr>
          <w:rFonts w:hint="eastAsia" w:ascii="仿宋" w:hAnsi="仿宋" w:eastAsia="仿宋" w:cs="仿宋"/>
          <w:b/>
          <w:bCs w:val="0"/>
          <w:color w:val="auto"/>
          <w:sz w:val="28"/>
          <w:szCs w:val="28"/>
          <w:highlight w:val="none"/>
          <w:lang w:val="en-US" w:eastAsia="zh-CN"/>
        </w:rPr>
        <w:t>二、乙方</w:t>
      </w:r>
      <w:r>
        <w:rPr>
          <w:rFonts w:hint="eastAsia" w:ascii="仿宋" w:hAnsi="仿宋" w:eastAsia="仿宋" w:cs="仿宋"/>
          <w:b/>
          <w:bCs w:val="0"/>
          <w:color w:val="auto"/>
          <w:sz w:val="28"/>
          <w:szCs w:val="28"/>
          <w:highlight w:val="none"/>
          <w:lang w:eastAsia="zh-CN"/>
        </w:rPr>
        <w:t>的违约责任：</w:t>
      </w:r>
    </w:p>
    <w:p w14:paraId="27C2ED14">
      <w:pPr>
        <w:pStyle w:val="10"/>
        <w:keepNext w:val="0"/>
        <w:keepLines w:val="0"/>
        <w:pageBreakBefore w:val="0"/>
        <w:widowControl/>
        <w:kinsoku/>
        <w:wordWrap/>
        <w:overflowPunct/>
        <w:topLinePunct w:val="0"/>
        <w:autoSpaceDE/>
        <w:autoSpaceDN/>
        <w:bidi w:val="0"/>
        <w:adjustRightInd w:val="0"/>
        <w:snapToGrid w:val="0"/>
        <w:ind w:firstLine="560" w:firstLineChars="200"/>
        <w:textAlignment w:val="baseline"/>
        <w:rPr>
          <w:rFonts w:hint="eastAsia" w:ascii="仿宋" w:hAnsi="仿宋" w:eastAsia="仿宋" w:cs="仿宋"/>
          <w:b w:val="0"/>
          <w:bCs w:val="0"/>
          <w:color w:val="auto"/>
          <w:sz w:val="28"/>
          <w:szCs w:val="28"/>
          <w:highlight w:val="none"/>
        </w:rPr>
      </w:pPr>
      <w:r>
        <w:rPr>
          <w:rFonts w:hint="eastAsia" w:ascii="仿宋" w:hAnsi="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rPr>
        <w:t>1）本工程要求工程质量标准需达到国家、省市或相关行业规范“合格”标准要求，竣工验收达不到合格标准的，除按国家规定对</w:t>
      </w:r>
      <w:r>
        <w:rPr>
          <w:rFonts w:hint="eastAsia" w:ascii="仿宋" w:hAnsi="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rPr>
        <w:t>予以处罚外，</w:t>
      </w:r>
      <w:r>
        <w:rPr>
          <w:rFonts w:hint="eastAsia" w:ascii="仿宋" w:hAnsi="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rPr>
        <w:t>应无条件的返工直到工程合格为止，费用由</w:t>
      </w:r>
      <w:r>
        <w:rPr>
          <w:rFonts w:hint="eastAsia" w:ascii="仿宋" w:hAnsi="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rPr>
        <w:t>承担。因质量问题给</w:t>
      </w:r>
      <w:r>
        <w:rPr>
          <w:rFonts w:hint="eastAsia" w:ascii="仿宋" w:hAnsi="仿宋" w:cs="仿宋"/>
          <w:b w:val="0"/>
          <w:bCs w:val="0"/>
          <w:color w:val="auto"/>
          <w:sz w:val="28"/>
          <w:szCs w:val="28"/>
          <w:highlight w:val="none"/>
          <w:lang w:val="en-US" w:eastAsia="zh-CN"/>
        </w:rPr>
        <w:t>甲方</w:t>
      </w:r>
      <w:r>
        <w:rPr>
          <w:rFonts w:hint="eastAsia" w:ascii="仿宋" w:hAnsi="仿宋" w:eastAsia="仿宋" w:cs="仿宋"/>
          <w:b w:val="0"/>
          <w:bCs w:val="0"/>
          <w:color w:val="auto"/>
          <w:sz w:val="28"/>
          <w:szCs w:val="28"/>
          <w:highlight w:val="none"/>
        </w:rPr>
        <w:t>造成的经济及名誉等一系列损失，由</w:t>
      </w:r>
      <w:r>
        <w:rPr>
          <w:rFonts w:hint="eastAsia" w:ascii="仿宋" w:hAnsi="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rPr>
        <w:t>承担相应费用。</w:t>
      </w:r>
    </w:p>
    <w:p w14:paraId="51AF71F2">
      <w:pPr>
        <w:pStyle w:val="10"/>
        <w:keepNext w:val="0"/>
        <w:keepLines w:val="0"/>
        <w:pageBreakBefore w:val="0"/>
        <w:widowControl/>
        <w:kinsoku/>
        <w:wordWrap/>
        <w:overflowPunct/>
        <w:topLinePunct w:val="0"/>
        <w:autoSpaceDE/>
        <w:autoSpaceDN/>
        <w:bidi w:val="0"/>
        <w:adjustRightInd w:val="0"/>
        <w:snapToGrid w:val="0"/>
        <w:ind w:firstLine="560" w:firstLineChars="200"/>
        <w:textAlignment w:val="baseline"/>
        <w:rPr>
          <w:rFonts w:hint="eastAsia" w:ascii="仿宋" w:hAnsi="仿宋" w:eastAsia="仿宋" w:cs="仿宋"/>
          <w:b w:val="0"/>
          <w:bCs w:val="0"/>
          <w:color w:val="auto"/>
          <w:sz w:val="28"/>
          <w:szCs w:val="28"/>
          <w:highlight w:val="none"/>
        </w:rPr>
      </w:pPr>
      <w:r>
        <w:rPr>
          <w:rFonts w:hint="eastAsia" w:ascii="仿宋" w:hAnsi="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rPr>
        <w:t>2）</w:t>
      </w:r>
      <w:r>
        <w:rPr>
          <w:rFonts w:hint="eastAsia" w:ascii="仿宋" w:hAnsi="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rPr>
        <w:t>将工程转包的，</w:t>
      </w:r>
      <w:r>
        <w:rPr>
          <w:rFonts w:hint="eastAsia" w:ascii="仿宋" w:hAnsi="仿宋" w:cs="仿宋"/>
          <w:b w:val="0"/>
          <w:bCs w:val="0"/>
          <w:color w:val="auto"/>
          <w:sz w:val="28"/>
          <w:szCs w:val="28"/>
          <w:highlight w:val="none"/>
          <w:lang w:val="en-US" w:eastAsia="zh-CN"/>
        </w:rPr>
        <w:t>甲方</w:t>
      </w:r>
      <w:r>
        <w:rPr>
          <w:rFonts w:hint="eastAsia" w:ascii="仿宋" w:hAnsi="仿宋" w:eastAsia="仿宋" w:cs="仿宋"/>
          <w:b w:val="0"/>
          <w:bCs w:val="0"/>
          <w:color w:val="auto"/>
          <w:sz w:val="28"/>
          <w:szCs w:val="28"/>
          <w:highlight w:val="none"/>
        </w:rPr>
        <w:t>有权解除本合同，</w:t>
      </w:r>
      <w:r>
        <w:rPr>
          <w:rFonts w:hint="eastAsia" w:ascii="仿宋" w:hAnsi="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rPr>
        <w:t>向</w:t>
      </w:r>
      <w:r>
        <w:rPr>
          <w:rFonts w:hint="eastAsia" w:ascii="仿宋" w:hAnsi="仿宋" w:cs="仿宋"/>
          <w:b w:val="0"/>
          <w:bCs w:val="0"/>
          <w:color w:val="auto"/>
          <w:sz w:val="28"/>
          <w:szCs w:val="28"/>
          <w:highlight w:val="none"/>
          <w:lang w:val="en-US" w:eastAsia="zh-CN"/>
        </w:rPr>
        <w:t>甲方</w:t>
      </w:r>
      <w:r>
        <w:rPr>
          <w:rFonts w:hint="eastAsia" w:ascii="仿宋" w:hAnsi="仿宋" w:eastAsia="仿宋" w:cs="仿宋"/>
          <w:b w:val="0"/>
          <w:bCs w:val="0"/>
          <w:color w:val="auto"/>
          <w:sz w:val="28"/>
          <w:szCs w:val="28"/>
          <w:highlight w:val="none"/>
        </w:rPr>
        <w:t>支付合同价款10%的违约金。</w:t>
      </w:r>
    </w:p>
    <w:p w14:paraId="30AD732E">
      <w:pPr>
        <w:pStyle w:val="10"/>
        <w:keepNext w:val="0"/>
        <w:keepLines w:val="0"/>
        <w:pageBreakBefore w:val="0"/>
        <w:widowControl/>
        <w:kinsoku/>
        <w:wordWrap/>
        <w:overflowPunct/>
        <w:topLinePunct w:val="0"/>
        <w:autoSpaceDE/>
        <w:autoSpaceDN/>
        <w:bidi w:val="0"/>
        <w:adjustRightInd w:val="0"/>
        <w:snapToGrid w:val="0"/>
        <w:ind w:firstLine="560" w:firstLineChars="200"/>
        <w:textAlignment w:val="baseline"/>
        <w:rPr>
          <w:rFonts w:hint="eastAsia" w:ascii="仿宋" w:hAnsi="仿宋" w:eastAsia="仿宋" w:cs="仿宋"/>
          <w:b w:val="0"/>
          <w:bCs w:val="0"/>
          <w:color w:val="auto"/>
          <w:sz w:val="28"/>
          <w:szCs w:val="28"/>
          <w:highlight w:val="none"/>
        </w:rPr>
      </w:pPr>
      <w:r>
        <w:rPr>
          <w:rFonts w:hint="eastAsia" w:ascii="仿宋" w:hAnsi="仿宋" w:cs="仿宋"/>
          <w:b w:val="0"/>
          <w:bCs w:val="0"/>
          <w:color w:val="auto"/>
          <w:sz w:val="28"/>
          <w:szCs w:val="28"/>
          <w:highlight w:val="none"/>
          <w:lang w:eastAsia="zh-CN"/>
        </w:rPr>
        <w:t>（</w:t>
      </w:r>
      <w:r>
        <w:rPr>
          <w:rFonts w:hint="eastAsia" w:ascii="仿宋" w:hAnsi="仿宋" w:eastAsia="仿宋" w:cs="仿宋"/>
          <w:b w:val="0"/>
          <w:bCs w:val="0"/>
          <w:color w:val="auto"/>
          <w:sz w:val="28"/>
          <w:szCs w:val="28"/>
          <w:highlight w:val="none"/>
        </w:rPr>
        <w:t>3）</w:t>
      </w:r>
      <w:r>
        <w:rPr>
          <w:rFonts w:hint="eastAsia" w:ascii="仿宋" w:hAnsi="仿宋" w:cs="仿宋"/>
          <w:b w:val="0"/>
          <w:bCs w:val="0"/>
          <w:color w:val="auto"/>
          <w:sz w:val="28"/>
          <w:szCs w:val="28"/>
          <w:highlight w:val="none"/>
          <w:lang w:val="en-US" w:eastAsia="zh-CN"/>
        </w:rPr>
        <w:t>甲方</w:t>
      </w:r>
      <w:r>
        <w:rPr>
          <w:rFonts w:hint="eastAsia" w:ascii="仿宋" w:hAnsi="仿宋" w:eastAsia="仿宋" w:cs="仿宋"/>
          <w:b w:val="0"/>
          <w:bCs w:val="0"/>
          <w:color w:val="auto"/>
          <w:sz w:val="28"/>
          <w:szCs w:val="28"/>
          <w:highlight w:val="none"/>
        </w:rPr>
        <w:t>有权对</w:t>
      </w:r>
      <w:r>
        <w:rPr>
          <w:rFonts w:hint="eastAsia" w:ascii="仿宋" w:hAnsi="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rPr>
        <w:t>不称职或不接受管理的人员进行处罚或驱逐出场。在</w:t>
      </w:r>
      <w:r>
        <w:rPr>
          <w:rFonts w:hint="eastAsia" w:ascii="仿宋" w:hAnsi="仿宋" w:cs="仿宋"/>
          <w:b w:val="0"/>
          <w:bCs w:val="0"/>
          <w:color w:val="auto"/>
          <w:sz w:val="28"/>
          <w:szCs w:val="28"/>
          <w:highlight w:val="none"/>
          <w:lang w:val="en-US" w:eastAsia="zh-CN"/>
        </w:rPr>
        <w:t>甲方</w:t>
      </w:r>
      <w:r>
        <w:rPr>
          <w:rFonts w:hint="eastAsia" w:ascii="仿宋" w:hAnsi="仿宋" w:eastAsia="仿宋" w:cs="仿宋"/>
          <w:b w:val="0"/>
          <w:bCs w:val="0"/>
          <w:color w:val="auto"/>
          <w:sz w:val="28"/>
          <w:szCs w:val="28"/>
          <w:highlight w:val="none"/>
        </w:rPr>
        <w:t>发出要求更换不合格或不称职人员指令后，</w:t>
      </w:r>
      <w:r>
        <w:rPr>
          <w:rFonts w:hint="eastAsia" w:ascii="仿宋" w:hAnsi="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rPr>
        <w:t>须及时更换合格人员，逾期未到岗视为</w:t>
      </w:r>
      <w:r>
        <w:rPr>
          <w:rFonts w:hint="eastAsia" w:ascii="仿宋" w:hAnsi="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rPr>
        <w:t>违约，给</w:t>
      </w:r>
      <w:r>
        <w:rPr>
          <w:rFonts w:hint="eastAsia" w:ascii="仿宋" w:hAnsi="仿宋" w:cs="仿宋"/>
          <w:b w:val="0"/>
          <w:bCs w:val="0"/>
          <w:color w:val="auto"/>
          <w:sz w:val="28"/>
          <w:szCs w:val="28"/>
          <w:highlight w:val="none"/>
          <w:lang w:val="en-US" w:eastAsia="zh-CN"/>
        </w:rPr>
        <w:t>甲方</w:t>
      </w:r>
      <w:r>
        <w:rPr>
          <w:rFonts w:hint="eastAsia" w:ascii="仿宋" w:hAnsi="仿宋" w:eastAsia="仿宋" w:cs="仿宋"/>
          <w:b w:val="0"/>
          <w:bCs w:val="0"/>
          <w:color w:val="auto"/>
          <w:sz w:val="28"/>
          <w:szCs w:val="28"/>
          <w:highlight w:val="none"/>
        </w:rPr>
        <w:t>造成的经济及名誉等一系列损失，由</w:t>
      </w:r>
      <w:r>
        <w:rPr>
          <w:rFonts w:hint="eastAsia" w:ascii="仿宋" w:hAnsi="仿宋" w:cs="仿宋"/>
          <w:b w:val="0"/>
          <w:bCs w:val="0"/>
          <w:color w:val="auto"/>
          <w:sz w:val="28"/>
          <w:szCs w:val="28"/>
          <w:highlight w:val="none"/>
          <w:lang w:val="en-US" w:eastAsia="zh-CN"/>
        </w:rPr>
        <w:t>乙方</w:t>
      </w:r>
      <w:r>
        <w:rPr>
          <w:rFonts w:hint="eastAsia" w:ascii="仿宋" w:hAnsi="仿宋" w:eastAsia="仿宋" w:cs="仿宋"/>
          <w:b w:val="0"/>
          <w:bCs w:val="0"/>
          <w:color w:val="auto"/>
          <w:sz w:val="28"/>
          <w:szCs w:val="28"/>
          <w:highlight w:val="none"/>
        </w:rPr>
        <w:t>承担相应费用。</w:t>
      </w:r>
    </w:p>
    <w:p w14:paraId="2C221FF8">
      <w:pPr>
        <w:pStyle w:val="10"/>
        <w:keepNext w:val="0"/>
        <w:keepLines w:val="0"/>
        <w:pageBreakBefore w:val="0"/>
        <w:widowControl/>
        <w:kinsoku/>
        <w:autoSpaceDE/>
        <w:autoSpaceDN/>
        <w:bidi w:val="0"/>
        <w:ind w:firstLine="0" w:firstLineChars="0"/>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第十二条  合同终止</w:t>
      </w:r>
    </w:p>
    <w:p w14:paraId="09709055">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1、合同期间任何一方不得随意变更、终止合同。</w:t>
      </w:r>
    </w:p>
    <w:p w14:paraId="4B1F2B64">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2、本合同规定的履行期限届满，合同自动终止。</w:t>
      </w:r>
    </w:p>
    <w:p w14:paraId="1198A83B">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3、因双方机构撤并、职能调整等原因，确需终止合同的，双方可协商终止合同。</w:t>
      </w:r>
    </w:p>
    <w:p w14:paraId="2462280D">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4、乙方应自觉遵守甲方工作纪律、规章制度，服从甲方管理。因乙方原因给甲方造成严重后果，甲方可以单方面解除合同。</w:t>
      </w:r>
    </w:p>
    <w:p w14:paraId="47B772A3">
      <w:pPr>
        <w:keepNext w:val="0"/>
        <w:keepLines w:val="0"/>
        <w:pageBreakBefore w:val="0"/>
        <w:kinsoku/>
        <w:autoSpaceDE/>
        <w:autoSpaceDN/>
        <w:bidi w:val="0"/>
        <w:spacing w:line="360" w:lineRule="auto"/>
        <w:ind w:right="-197" w:rightChars="-94"/>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w:t>
      </w:r>
      <w:r>
        <w:rPr>
          <w:rFonts w:hint="eastAsia" w:ascii="仿宋" w:hAnsi="仿宋" w:eastAsia="仿宋" w:cs="仿宋"/>
          <w:b/>
          <w:bCs/>
          <w:color w:val="auto"/>
          <w:sz w:val="28"/>
          <w:szCs w:val="28"/>
          <w:highlight w:val="none"/>
          <w:lang w:eastAsia="zh-CN"/>
        </w:rPr>
        <w:t>十三</w:t>
      </w:r>
      <w:r>
        <w:rPr>
          <w:rFonts w:hint="eastAsia" w:ascii="仿宋" w:hAnsi="仿宋" w:eastAsia="仿宋" w:cs="仿宋"/>
          <w:b/>
          <w:bCs/>
          <w:color w:val="auto"/>
          <w:sz w:val="28"/>
          <w:szCs w:val="28"/>
          <w:highlight w:val="none"/>
        </w:rPr>
        <w:t xml:space="preserve">条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b/>
          <w:bCs/>
          <w:color w:val="auto"/>
          <w:sz w:val="28"/>
          <w:szCs w:val="28"/>
          <w:highlight w:val="none"/>
        </w:rPr>
        <w:t>不可抗力</w:t>
      </w:r>
      <w:r>
        <w:rPr>
          <w:rFonts w:hint="eastAsia" w:ascii="仿宋" w:hAnsi="仿宋" w:eastAsia="仿宋" w:cs="仿宋"/>
          <w:b/>
          <w:bCs/>
          <w:color w:val="auto"/>
          <w:sz w:val="28"/>
          <w:szCs w:val="28"/>
          <w:highlight w:val="none"/>
        </w:rPr>
        <w:fldChar w:fldCharType="end"/>
      </w:r>
    </w:p>
    <w:p w14:paraId="3BD2F8FC">
      <w:pPr>
        <w:keepNext w:val="0"/>
        <w:keepLines w:val="0"/>
        <w:pageBreakBefore w:val="0"/>
        <w:kinsoku/>
        <w:autoSpaceDE/>
        <w:autoSpaceDN/>
        <w:bidi w:val="0"/>
        <w:spacing w:line="360" w:lineRule="auto"/>
        <w:ind w:right="-197" w:rightChars="-94"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甲乙双方任何一方由于</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不可抗力</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原因不能履行合同时，应及时向对</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方通</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违约责任</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p>
    <w:p w14:paraId="3A24BC49">
      <w:pPr>
        <w:keepNext w:val="0"/>
        <w:keepLines w:val="0"/>
        <w:pageBreakBefore w:val="0"/>
        <w:kinsoku/>
        <w:autoSpaceDE/>
        <w:autoSpaceDN/>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第十</w:t>
      </w:r>
      <w:r>
        <w:rPr>
          <w:rFonts w:hint="eastAsia" w:ascii="仿宋" w:hAnsi="仿宋" w:eastAsia="仿宋" w:cs="仿宋"/>
          <w:b/>
          <w:color w:val="auto"/>
          <w:sz w:val="28"/>
          <w:szCs w:val="28"/>
          <w:highlight w:val="none"/>
          <w:lang w:eastAsia="zh-CN"/>
        </w:rPr>
        <w:t>四</w:t>
      </w:r>
      <w:r>
        <w:rPr>
          <w:rFonts w:hint="eastAsia" w:ascii="仿宋" w:hAnsi="仿宋" w:eastAsia="仿宋" w:cs="仿宋"/>
          <w:b/>
          <w:color w:val="auto"/>
          <w:sz w:val="28"/>
          <w:szCs w:val="28"/>
          <w:highlight w:val="none"/>
        </w:rPr>
        <w:t>条　纠纷解决办法</w:t>
      </w:r>
    </w:p>
    <w:p w14:paraId="3B76F86A">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imes New Roman" w:hAnsi="Times New Roman" w:eastAsia="仿宋" w:cs="仿宋"/>
          <w:color w:val="auto"/>
          <w:sz w:val="28"/>
          <w:szCs w:val="28"/>
          <w:highlight w:val="none"/>
          <w:lang w:val="en-US" w:eastAsia="zh-CN"/>
        </w:rPr>
      </w:pPr>
      <w:r>
        <w:rPr>
          <w:rFonts w:hint="eastAsia" w:ascii="Times New Roman" w:hAnsi="Times New Roman" w:eastAsia="仿宋" w:cs="仿宋"/>
          <w:color w:val="auto"/>
          <w:sz w:val="28"/>
          <w:szCs w:val="28"/>
          <w:highlight w:val="none"/>
          <w:lang w:val="en-US" w:eastAsia="zh-CN"/>
        </w:rPr>
        <w:t>1、协商</w:t>
      </w:r>
    </w:p>
    <w:p w14:paraId="5E21BC0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imes New Roman" w:hAnsi="Times New Roman" w:eastAsia="仿宋" w:cs="仿宋"/>
          <w:color w:val="auto"/>
          <w:sz w:val="28"/>
          <w:szCs w:val="28"/>
          <w:highlight w:val="none"/>
          <w:lang w:val="en-US" w:eastAsia="zh-CN"/>
        </w:rPr>
      </w:pPr>
      <w:r>
        <w:rPr>
          <w:rFonts w:hint="eastAsia" w:ascii="Times New Roman" w:hAnsi="Times New Roman" w:eastAsia="仿宋" w:cs="仿宋"/>
          <w:color w:val="auto"/>
          <w:sz w:val="28"/>
          <w:szCs w:val="28"/>
          <w:highlight w:val="none"/>
          <w:lang w:val="en-US" w:eastAsia="zh-CN"/>
        </w:rPr>
        <w:t>双方应本着诚信原则协商解决彼此间的争议。</w:t>
      </w:r>
    </w:p>
    <w:p w14:paraId="5FBA2DE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imes New Roman" w:hAnsi="Times New Roman" w:eastAsia="仿宋" w:cs="仿宋"/>
          <w:color w:val="auto"/>
          <w:sz w:val="28"/>
          <w:szCs w:val="28"/>
          <w:highlight w:val="none"/>
          <w:lang w:val="en-US" w:eastAsia="zh-CN"/>
        </w:rPr>
      </w:pPr>
      <w:r>
        <w:rPr>
          <w:rFonts w:hint="eastAsia" w:ascii="Times New Roman" w:hAnsi="Times New Roman" w:eastAsia="仿宋" w:cs="仿宋"/>
          <w:color w:val="auto"/>
          <w:sz w:val="28"/>
          <w:szCs w:val="28"/>
          <w:highlight w:val="none"/>
          <w:lang w:val="en-US" w:eastAsia="zh-CN"/>
        </w:rPr>
        <w:t>2、调解</w:t>
      </w:r>
    </w:p>
    <w:p w14:paraId="79D45B9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imes New Roman" w:hAnsi="Times New Roman" w:eastAsia="仿宋" w:cs="仿宋"/>
          <w:color w:val="auto"/>
          <w:sz w:val="28"/>
          <w:szCs w:val="28"/>
          <w:highlight w:val="none"/>
          <w:lang w:val="en-US" w:eastAsia="zh-CN"/>
        </w:rPr>
      </w:pPr>
      <w:r>
        <w:rPr>
          <w:rFonts w:hint="eastAsia" w:ascii="Times New Roman" w:hAnsi="Times New Roman" w:eastAsia="仿宋" w:cs="仿宋"/>
          <w:color w:val="auto"/>
          <w:sz w:val="28"/>
          <w:szCs w:val="28"/>
          <w:highlight w:val="none"/>
          <w:lang w:val="en-US" w:eastAsia="zh-CN"/>
        </w:rPr>
        <w:t>如果双方不能在14天内或双方商定的其他时间内解决本合同争议，可以将其提交给专用条件约定的或事后达成协议的调解人进行调解。</w:t>
      </w:r>
    </w:p>
    <w:p w14:paraId="0862F57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imes New Roman" w:hAnsi="Times New Roman" w:eastAsia="仿宋" w:cs="仿宋"/>
          <w:color w:val="auto"/>
          <w:sz w:val="28"/>
          <w:szCs w:val="28"/>
          <w:highlight w:val="none"/>
          <w:lang w:val="en-US" w:eastAsia="zh-CN"/>
        </w:rPr>
      </w:pPr>
      <w:r>
        <w:rPr>
          <w:rFonts w:hint="eastAsia" w:ascii="Times New Roman" w:hAnsi="Times New Roman" w:eastAsia="仿宋" w:cs="仿宋"/>
          <w:color w:val="auto"/>
          <w:sz w:val="28"/>
          <w:szCs w:val="28"/>
          <w:highlight w:val="none"/>
          <w:lang w:val="en-US" w:eastAsia="zh-CN"/>
        </w:rPr>
        <w:t>3、仲裁或诉讼</w:t>
      </w:r>
    </w:p>
    <w:p w14:paraId="4FB4A71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ascii="Times New Roman" w:hAnsi="Times New Roman" w:eastAsia="仿宋" w:cs="仿宋"/>
          <w:color w:val="auto"/>
          <w:sz w:val="28"/>
          <w:szCs w:val="28"/>
          <w:highlight w:val="none"/>
          <w:lang w:val="en-US" w:eastAsia="zh-CN"/>
        </w:rPr>
      </w:pPr>
      <w:r>
        <w:rPr>
          <w:rFonts w:hint="eastAsia" w:ascii="Times New Roman" w:hAnsi="Times New Roman" w:eastAsia="仿宋" w:cs="仿宋"/>
          <w:color w:val="auto"/>
          <w:sz w:val="28"/>
          <w:szCs w:val="28"/>
          <w:highlight w:val="none"/>
          <w:lang w:val="en-US" w:eastAsia="zh-CN"/>
        </w:rPr>
        <w:t>双方均有权不经调解直接向专用条件约定的仲裁机构申请仲裁或向有管辖权的人民法院提起诉讼。</w:t>
      </w:r>
    </w:p>
    <w:p w14:paraId="621499A3">
      <w:pPr>
        <w:keepNext w:val="0"/>
        <w:keepLines w:val="0"/>
        <w:pageBreakBefore w:val="0"/>
        <w:kinsoku/>
        <w:autoSpaceDE/>
        <w:autoSpaceDN/>
        <w:bidi w:val="0"/>
        <w:spacing w:line="360" w:lineRule="auto"/>
        <w:ind w:right="-197" w:rightChars="-94"/>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第十</w:t>
      </w:r>
      <w:r>
        <w:rPr>
          <w:rFonts w:hint="eastAsia" w:ascii="仿宋" w:hAnsi="仿宋" w:eastAsia="仿宋" w:cs="仿宋"/>
          <w:b/>
          <w:bCs/>
          <w:color w:val="auto"/>
          <w:sz w:val="28"/>
          <w:szCs w:val="28"/>
          <w:highlight w:val="none"/>
          <w:lang w:eastAsia="zh-CN"/>
        </w:rPr>
        <w:t>五</w:t>
      </w:r>
      <w:r>
        <w:rPr>
          <w:rFonts w:hint="eastAsia" w:ascii="仿宋" w:hAnsi="仿宋" w:eastAsia="仿宋" w:cs="仿宋"/>
          <w:b/>
          <w:bCs/>
          <w:color w:val="auto"/>
          <w:sz w:val="28"/>
          <w:szCs w:val="28"/>
          <w:highlight w:val="none"/>
        </w:rPr>
        <w:t>条  监督和管理</w:t>
      </w:r>
    </w:p>
    <w:p w14:paraId="116E8B45">
      <w:pPr>
        <w:keepNext w:val="0"/>
        <w:keepLines w:val="0"/>
        <w:pageBreakBefore w:val="0"/>
        <w:kinsoku/>
        <w:autoSpaceDE/>
        <w:autoSpaceDN/>
        <w:bidi w:val="0"/>
        <w:spacing w:line="360" w:lineRule="auto"/>
        <w:ind w:right="-197" w:rightChars="-94"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政府采购合同履行中，甲方需追加与合同标的相同的货物、工程或者服务的，在不改变合同其他条款的前提下，可以与乙方协商签订补充合同，但所有补充合同的采购金额不得超过原合同采购金额的百分之十。</w:t>
      </w:r>
    </w:p>
    <w:p w14:paraId="70364D04">
      <w:pPr>
        <w:pStyle w:val="2"/>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2、甲乙双方均应自觉配合有关监督管理部门对合同履行情况的监督检查，如实反映情况，提供有关资料；否则，将对有关单位、当事人按照有关规定予以处罚。</w:t>
      </w:r>
    </w:p>
    <w:p w14:paraId="5CBFF547">
      <w:pPr>
        <w:pStyle w:val="2"/>
        <w:keepNext w:val="0"/>
        <w:keepLines w:val="0"/>
        <w:pageBreakBefore w:val="0"/>
        <w:kinsoku/>
        <w:autoSpaceDE/>
        <w:autoSpaceDN/>
        <w:bidi w:val="0"/>
        <w:spacing w:line="360" w:lineRule="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第十</w:t>
      </w:r>
      <w:r>
        <w:rPr>
          <w:rFonts w:hint="eastAsia" w:ascii="仿宋" w:hAnsi="仿宋" w:eastAsia="仿宋" w:cs="仿宋"/>
          <w:b/>
          <w:bCs/>
          <w:color w:val="auto"/>
          <w:sz w:val="28"/>
          <w:szCs w:val="28"/>
          <w:highlight w:val="none"/>
          <w:lang w:eastAsia="zh-CN"/>
        </w:rPr>
        <w:t>六</w:t>
      </w:r>
      <w:r>
        <w:rPr>
          <w:rFonts w:hint="eastAsia" w:ascii="仿宋" w:hAnsi="仿宋" w:eastAsia="仿宋" w:cs="仿宋"/>
          <w:b/>
          <w:bCs/>
          <w:color w:val="auto"/>
          <w:sz w:val="28"/>
          <w:szCs w:val="28"/>
          <w:highlight w:val="none"/>
        </w:rPr>
        <w:t>条</w:t>
      </w:r>
      <w:r>
        <w:rPr>
          <w:rFonts w:hint="eastAsia" w:ascii="仿宋" w:hAnsi="仿宋" w:eastAsia="仿宋" w:cs="仿宋"/>
          <w:b/>
          <w:bCs/>
          <w:color w:val="auto"/>
          <w:sz w:val="28"/>
          <w:szCs w:val="28"/>
          <w:highlight w:val="none"/>
          <w:lang w:eastAsia="zh-CN"/>
        </w:rPr>
        <w:t xml:space="preserve"> </w:t>
      </w:r>
      <w:r>
        <w:rPr>
          <w:rFonts w:hint="eastAsia" w:ascii="仿宋" w:hAnsi="仿宋" w:eastAsia="仿宋" w:cs="仿宋"/>
          <w:b/>
          <w:bCs/>
          <w:color w:val="auto"/>
          <w:sz w:val="28"/>
          <w:szCs w:val="28"/>
          <w:highlight w:val="none"/>
        </w:rPr>
        <w:t>补充条款</w:t>
      </w:r>
    </w:p>
    <w:p w14:paraId="5719278C">
      <w:pPr>
        <w:keepNext w:val="0"/>
        <w:keepLines w:val="0"/>
        <w:pageBreakBefore w:val="0"/>
        <w:widowControl w:val="0"/>
        <w:kinsoku/>
        <w:autoSpaceDE/>
        <w:autoSpaceDN/>
        <w:bidi w:val="0"/>
        <w:adjustRightInd/>
        <w:spacing w:line="360" w:lineRule="auto"/>
        <w:ind w:firstLine="560" w:firstLineChars="20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乙方应按时发放农民工工资，甲方有权监督乙方发放农民工工资。如乙方未按时发放农民工工资，影响到本工程的质量和进度，甲方有权按乙方所拟的工资额度直接发放农民工的工资，并按发放金额的50%从乙方的剩余价款中扣除予以处罚。</w:t>
      </w:r>
    </w:p>
    <w:p w14:paraId="11A3A2AB">
      <w:pPr>
        <w:pStyle w:val="6"/>
        <w:keepNext w:val="0"/>
        <w:keepLines w:val="0"/>
        <w:pageBreakBefore w:val="0"/>
        <w:kinsoku/>
        <w:autoSpaceDE/>
        <w:autoSpaceDN/>
        <w:bidi w:val="0"/>
        <w:spacing w:line="360" w:lineRule="auto"/>
        <w:ind w:firstLine="0" w:firstLineChars="0"/>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eastAsia="zh-CN"/>
        </w:rPr>
        <w:t>第十七条  信用融资（如有）</w:t>
      </w:r>
    </w:p>
    <w:p w14:paraId="5A642036">
      <w:pPr>
        <w:pStyle w:val="4"/>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银行名称：</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 xml:space="preserve">  ，收款账号：</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w:t>
      </w:r>
    </w:p>
    <w:p w14:paraId="15C2CA84">
      <w:pPr>
        <w:keepNext w:val="0"/>
        <w:keepLines w:val="0"/>
        <w:pageBreakBefore w:val="0"/>
        <w:kinsoku/>
        <w:autoSpaceDE/>
        <w:autoSpaceDN/>
        <w:bidi w:val="0"/>
        <w:spacing w:line="360" w:lineRule="auto"/>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第十</w:t>
      </w:r>
      <w:r>
        <w:rPr>
          <w:rFonts w:hint="eastAsia" w:ascii="仿宋" w:hAnsi="仿宋" w:eastAsia="仿宋" w:cs="仿宋"/>
          <w:b/>
          <w:color w:val="auto"/>
          <w:sz w:val="28"/>
          <w:szCs w:val="28"/>
          <w:highlight w:val="none"/>
          <w:lang w:eastAsia="zh-CN"/>
        </w:rPr>
        <w:t>八</w:t>
      </w:r>
      <w:r>
        <w:rPr>
          <w:rFonts w:hint="eastAsia" w:ascii="仿宋" w:hAnsi="仿宋" w:eastAsia="仿宋" w:cs="仿宋"/>
          <w:b/>
          <w:color w:val="auto"/>
          <w:sz w:val="28"/>
          <w:szCs w:val="28"/>
          <w:highlight w:val="none"/>
        </w:rPr>
        <w:t>条  附  则</w:t>
      </w:r>
    </w:p>
    <w:p w14:paraId="03D71355">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1</w:t>
      </w:r>
      <w:r>
        <w:rPr>
          <w:rFonts w:hint="eastAsia" w:ascii="仿宋" w:hAnsi="仿宋" w:eastAsia="仿宋" w:cs="仿宋"/>
          <w:bCs/>
          <w:color w:val="auto"/>
          <w:sz w:val="28"/>
          <w:szCs w:val="28"/>
          <w:highlight w:val="none"/>
        </w:rPr>
        <w:t>、甲方代表为___________，乙方代表为___________。</w:t>
      </w:r>
    </w:p>
    <w:p w14:paraId="1DF41DDA">
      <w:pPr>
        <w:keepNext w:val="0"/>
        <w:keepLines w:val="0"/>
        <w:pageBreakBefore w:val="0"/>
        <w:kinsoku/>
        <w:autoSpaceDE/>
        <w:autoSpaceDN/>
        <w:bidi w:val="0"/>
        <w:spacing w:line="36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2</w:t>
      </w:r>
      <w:r>
        <w:rPr>
          <w:rFonts w:hint="eastAsia" w:ascii="仿宋" w:hAnsi="仿宋" w:eastAsia="仿宋" w:cs="仿宋"/>
          <w:bCs/>
          <w:color w:val="auto"/>
          <w:sz w:val="28"/>
          <w:szCs w:val="28"/>
          <w:highlight w:val="none"/>
        </w:rPr>
        <w:t>、本合同一式四份,甲乙双方各执一份,采购代理机构两份。自双方代表签字，加盖双方公章或合同专用章后生效。</w:t>
      </w:r>
    </w:p>
    <w:p w14:paraId="5D0F0355">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(甲方)：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eastAsia="zh-CN"/>
        </w:rPr>
        <w:t>（公章）</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eastAsia="zh-CN"/>
        </w:rPr>
        <w:t>供应商</w:t>
      </w:r>
      <w:r>
        <w:rPr>
          <w:rFonts w:hint="eastAsia" w:ascii="仿宋" w:hAnsi="仿宋" w:eastAsia="仿宋" w:cs="仿宋"/>
          <w:color w:val="auto"/>
          <w:sz w:val="28"/>
          <w:szCs w:val="28"/>
          <w:highlight w:val="none"/>
        </w:rPr>
        <w:t>(乙方)：</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eastAsia="zh-CN"/>
        </w:rPr>
        <w:t>（公章）</w:t>
      </w:r>
    </w:p>
    <w:p w14:paraId="245FDE20">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lang w:eastAsia="zh-CN"/>
        </w:rPr>
        <w:t xml:space="preserve">                  </w:t>
      </w:r>
    </w:p>
    <w:p w14:paraId="3D3A7C59">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或</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lang w:eastAsia="zh-CN"/>
        </w:rPr>
        <w:t>（签字或盖章）或</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委托代理人</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（签字或盖章）</w:t>
      </w:r>
    </w:p>
    <w:p w14:paraId="4A80840D">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开户银行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rPr>
        <w:fldChar w:fldCharType="begin"/>
      </w:r>
      <w:r>
        <w:rPr>
          <w:rFonts w:hint="eastAsia" w:ascii="仿宋" w:hAnsi="仿宋" w:eastAsia="仿宋" w:cs="仿宋"/>
          <w:color w:val="auto"/>
          <w:sz w:val="28"/>
          <w:szCs w:val="28"/>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8"/>
          <w:szCs w:val="28"/>
          <w:highlight w:val="none"/>
        </w:rPr>
        <w:fldChar w:fldCharType="separate"/>
      </w:r>
      <w:r>
        <w:rPr>
          <w:rFonts w:hint="eastAsia" w:ascii="仿宋" w:hAnsi="仿宋" w:eastAsia="仿宋" w:cs="仿宋"/>
          <w:color w:val="auto"/>
          <w:sz w:val="28"/>
          <w:szCs w:val="28"/>
          <w:highlight w:val="none"/>
        </w:rPr>
        <w:t>开户银行</w:t>
      </w:r>
      <w:r>
        <w:rPr>
          <w:rFonts w:hint="eastAsia" w:ascii="仿宋" w:hAnsi="仿宋" w:eastAsia="仿宋" w:cs="仿宋"/>
          <w:color w:val="auto"/>
          <w:sz w:val="28"/>
          <w:szCs w:val="28"/>
          <w:highlight w:val="none"/>
        </w:rPr>
        <w:fldChar w:fldCharType="end"/>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661A48F4">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账</w:t>
      </w:r>
      <w:r>
        <w:rPr>
          <w:rFonts w:hint="eastAsia" w:ascii="仿宋" w:hAnsi="仿宋" w:eastAsia="仿宋" w:cs="仿宋"/>
          <w:color w:val="auto"/>
          <w:sz w:val="28"/>
          <w:szCs w:val="28"/>
          <w:highlight w:val="none"/>
        </w:rPr>
        <w:t xml:space="preserve">    号：</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 xml:space="preserve">    账</w:t>
      </w:r>
      <w:r>
        <w:rPr>
          <w:rFonts w:hint="eastAsia" w:ascii="仿宋" w:hAnsi="仿宋" w:eastAsia="仿宋" w:cs="仿宋"/>
          <w:color w:val="auto"/>
          <w:sz w:val="28"/>
          <w:szCs w:val="28"/>
          <w:highlight w:val="none"/>
        </w:rPr>
        <w:t xml:space="preserve">    号：</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55747603">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    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rPr>
        <w:t>电    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14620104">
      <w:pPr>
        <w:keepNext w:val="0"/>
        <w:keepLines w:val="0"/>
        <w:pageBreakBefore w:val="0"/>
        <w:widowControl w:val="0"/>
        <w:kinsoku/>
        <w:autoSpaceDE/>
        <w:autoSpaceDN/>
        <w:bidi w:val="0"/>
        <w:adjustRightInd/>
        <w:spacing w:line="360" w:lineRule="auto"/>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w:t>
      </w:r>
    </w:p>
    <w:p w14:paraId="48B26520">
      <w:pPr>
        <w:keepNext w:val="0"/>
        <w:keepLines w:val="0"/>
        <w:pageBreakBefore w:val="0"/>
        <w:kinsoku/>
        <w:autoSpaceDE/>
        <w:autoSpaceDN/>
        <w:bidi w:val="0"/>
        <w:spacing w:line="360" w:lineRule="auto"/>
        <w:ind w:firstLine="560" w:firstLineChars="200"/>
        <w:rPr>
          <w:rFonts w:hint="eastAsia" w:ascii="仿宋" w:hAnsi="仿宋" w:eastAsia="仿宋" w:cs="仿宋"/>
          <w:color w:val="auto"/>
          <w:sz w:val="28"/>
          <w:szCs w:val="28"/>
          <w:highlight w:val="none"/>
        </w:rPr>
        <w:sectPr>
          <w:pgSz w:w="11900" w:h="16840"/>
          <w:pgMar w:top="1134" w:right="1134" w:bottom="1134" w:left="1134" w:header="0" w:footer="0" w:gutter="0"/>
          <w:pgNumType w:fmt="decimal"/>
          <w:cols w:space="0" w:num="1"/>
        </w:sectPr>
      </w:pPr>
      <w:r>
        <w:rPr>
          <w:rFonts w:hint="eastAsia" w:ascii="仿宋" w:hAnsi="仿宋" w:eastAsia="仿宋" w:cs="仿宋"/>
          <w:color w:val="auto"/>
          <w:sz w:val="28"/>
          <w:szCs w:val="28"/>
          <w:highlight w:val="none"/>
        </w:rPr>
        <w:t xml:space="preserve">时    间：  年月日    </w:t>
      </w:r>
      <w:r>
        <w:rPr>
          <w:rFonts w:hint="eastAsia" w:ascii="仿宋" w:hAnsi="仿宋" w:eastAsia="仿宋" w:cs="仿宋"/>
          <w:color w:val="auto"/>
          <w:sz w:val="28"/>
          <w:szCs w:val="28"/>
          <w:highlight w:val="none"/>
          <w:lang w:eastAsia="zh-CN"/>
        </w:rPr>
        <w:t xml:space="preserve">    </w:t>
      </w:r>
      <w:r>
        <w:rPr>
          <w:rFonts w:hint="eastAsia" w:ascii="仿宋" w:hAnsi="仿宋" w:eastAsia="仿宋" w:cs="仿宋"/>
          <w:color w:val="auto"/>
          <w:sz w:val="28"/>
          <w:szCs w:val="28"/>
          <w:highlight w:val="none"/>
        </w:rPr>
        <w:t>时    间： 年月</w:t>
      </w:r>
    </w:p>
    <w:p w14:paraId="6FBB0EF2">
      <w:pPr>
        <w:pStyle w:val="2"/>
        <w:rPr>
          <w:rFonts w:hint="default"/>
          <w:color w:val="auto"/>
          <w:highlight w:val="none"/>
          <w:lang w:val="en-US" w:eastAsia="zh-CN"/>
        </w:rPr>
      </w:pPr>
      <w:r>
        <w:rPr>
          <w:rFonts w:hint="eastAsia" w:ascii="仿宋" w:hAnsi="仿宋" w:eastAsia="仿宋" w:cs="仿宋"/>
          <w:b/>
          <w:bCs/>
          <w:color w:val="auto"/>
          <w:sz w:val="28"/>
          <w:szCs w:val="28"/>
          <w:highlight w:val="none"/>
          <w:lang w:val="en-US" w:eastAsia="zh-CN"/>
        </w:rPr>
        <w:t>附件：报价明细表</w:t>
      </w:r>
    </w:p>
    <w:tbl>
      <w:tblPr>
        <w:tblStyle w:val="7"/>
        <w:tblpPr w:leftFromText="180" w:rightFromText="180" w:vertAnchor="text" w:horzAnchor="page" w:tblpX="1139" w:tblpY="476"/>
        <w:tblOverlap w:val="never"/>
        <w:tblW w:w="5132"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2"/>
        <w:gridCol w:w="1619"/>
        <w:gridCol w:w="1288"/>
        <w:gridCol w:w="1151"/>
        <w:gridCol w:w="1432"/>
        <w:gridCol w:w="1799"/>
        <w:gridCol w:w="1065"/>
        <w:gridCol w:w="793"/>
      </w:tblGrid>
      <w:tr w14:paraId="1F31B6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475" w:type="pct"/>
            <w:tcBorders>
              <w:top w:val="single" w:color="000000" w:sz="4" w:space="0"/>
              <w:left w:val="single" w:color="000000" w:sz="4" w:space="0"/>
              <w:bottom w:val="single" w:color="000000" w:sz="4" w:space="0"/>
              <w:right w:val="single" w:color="000000" w:sz="4" w:space="0"/>
            </w:tcBorders>
            <w:noWrap/>
            <w:vAlign w:val="center"/>
          </w:tcPr>
          <w:p w14:paraId="561FA3B3">
            <w:pPr>
              <w:widowControl/>
              <w:jc w:val="center"/>
              <w:textAlignment w:val="center"/>
              <w:rPr>
                <w:rFonts w:hint="eastAsia" w:ascii="仿宋" w:hAnsi="仿宋" w:eastAsia="仿宋" w:cs="仿宋"/>
                <w:b/>
                <w:bCs/>
                <w:color w:val="auto"/>
                <w:kern w:val="0"/>
                <w:sz w:val="28"/>
                <w:szCs w:val="28"/>
                <w:highlight w:val="none"/>
                <w:lang w:bidi="ar"/>
              </w:rPr>
            </w:pPr>
            <w:r>
              <w:rPr>
                <w:rFonts w:hint="eastAsia" w:ascii="仿宋" w:hAnsi="仿宋" w:eastAsia="仿宋" w:cs="仿宋"/>
                <w:b/>
                <w:bCs/>
                <w:color w:val="auto"/>
                <w:kern w:val="0"/>
                <w:sz w:val="28"/>
                <w:szCs w:val="28"/>
                <w:highlight w:val="none"/>
                <w:lang w:val="en-US" w:eastAsia="zh-CN" w:bidi="ar"/>
              </w:rPr>
              <w:t>序号</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14:paraId="1CF57CCF">
            <w:pPr>
              <w:widowControl/>
              <w:jc w:val="center"/>
              <w:textAlignment w:val="center"/>
              <w:rPr>
                <w:rFonts w:hint="eastAsia" w:ascii="仿宋" w:hAnsi="仿宋" w:eastAsia="仿宋" w:cs="仿宋"/>
                <w:b/>
                <w:bCs/>
                <w:color w:val="auto"/>
                <w:kern w:val="0"/>
                <w:sz w:val="28"/>
                <w:szCs w:val="28"/>
                <w:highlight w:val="none"/>
                <w:lang w:bidi="ar"/>
              </w:rPr>
            </w:pPr>
            <w:r>
              <w:rPr>
                <w:rFonts w:hint="eastAsia" w:ascii="仿宋" w:hAnsi="仿宋" w:eastAsia="仿宋" w:cs="仿宋"/>
                <w:b/>
                <w:bCs/>
                <w:color w:val="auto"/>
                <w:kern w:val="0"/>
                <w:sz w:val="28"/>
                <w:szCs w:val="28"/>
                <w:highlight w:val="none"/>
                <w:lang w:val="en-US" w:eastAsia="zh-CN" w:bidi="ar"/>
              </w:rPr>
              <w:t>项目编码</w:t>
            </w:r>
          </w:p>
        </w:tc>
        <w:tc>
          <w:tcPr>
            <w:tcW w:w="637" w:type="pct"/>
            <w:tcBorders>
              <w:top w:val="single" w:color="000000" w:sz="4" w:space="0"/>
              <w:left w:val="single" w:color="000000" w:sz="4" w:space="0"/>
              <w:bottom w:val="single" w:color="000000" w:sz="4" w:space="0"/>
              <w:right w:val="single" w:color="000000" w:sz="4" w:space="0"/>
            </w:tcBorders>
            <w:noWrap w:val="0"/>
            <w:vAlign w:val="center"/>
          </w:tcPr>
          <w:p w14:paraId="397AA7CF">
            <w:pPr>
              <w:widowControl/>
              <w:jc w:val="center"/>
              <w:textAlignment w:val="center"/>
              <w:rPr>
                <w:rFonts w:hint="eastAsia" w:ascii="仿宋" w:hAnsi="仿宋" w:eastAsia="仿宋" w:cs="仿宋"/>
                <w:b/>
                <w:bCs/>
                <w:color w:val="auto"/>
                <w:kern w:val="0"/>
                <w:sz w:val="28"/>
                <w:szCs w:val="28"/>
                <w:highlight w:val="none"/>
                <w:lang w:bidi="ar"/>
              </w:rPr>
            </w:pPr>
            <w:r>
              <w:rPr>
                <w:rFonts w:hint="eastAsia" w:ascii="仿宋" w:hAnsi="仿宋" w:eastAsia="仿宋" w:cs="仿宋"/>
                <w:b/>
                <w:bCs/>
                <w:color w:val="auto"/>
                <w:kern w:val="0"/>
                <w:sz w:val="28"/>
                <w:szCs w:val="28"/>
                <w:highlight w:val="none"/>
                <w:lang w:val="en-US" w:eastAsia="zh-CN" w:bidi="ar"/>
              </w:rPr>
              <w:t>项目名称</w:t>
            </w:r>
          </w:p>
        </w:tc>
        <w:tc>
          <w:tcPr>
            <w:tcW w:w="569" w:type="pct"/>
            <w:tcBorders>
              <w:top w:val="single" w:color="000000" w:sz="4" w:space="0"/>
              <w:left w:val="single" w:color="000000" w:sz="4" w:space="0"/>
              <w:bottom w:val="single" w:color="000000" w:sz="4" w:space="0"/>
              <w:right w:val="single" w:color="000000" w:sz="4" w:space="0"/>
            </w:tcBorders>
            <w:noWrap w:val="0"/>
            <w:vAlign w:val="center"/>
          </w:tcPr>
          <w:p w14:paraId="37D6A45A">
            <w:pPr>
              <w:widowControl/>
              <w:jc w:val="center"/>
              <w:textAlignment w:val="center"/>
              <w:rPr>
                <w:rFonts w:hint="eastAsia" w:ascii="仿宋" w:hAnsi="仿宋" w:eastAsia="仿宋" w:cs="仿宋"/>
                <w:b/>
                <w:bCs/>
                <w:color w:val="auto"/>
                <w:kern w:val="0"/>
                <w:sz w:val="28"/>
                <w:szCs w:val="28"/>
                <w:highlight w:val="none"/>
                <w:lang w:bidi="ar"/>
              </w:rPr>
            </w:pPr>
            <w:r>
              <w:rPr>
                <w:rFonts w:hint="eastAsia" w:ascii="仿宋" w:hAnsi="仿宋" w:eastAsia="仿宋" w:cs="仿宋"/>
                <w:b/>
                <w:bCs/>
                <w:color w:val="auto"/>
                <w:kern w:val="0"/>
                <w:sz w:val="28"/>
                <w:szCs w:val="28"/>
                <w:highlight w:val="none"/>
                <w:lang w:val="en-US" w:eastAsia="zh-CN" w:bidi="ar"/>
              </w:rPr>
              <w:t>计量</w:t>
            </w:r>
            <w:r>
              <w:rPr>
                <w:rFonts w:hint="eastAsia" w:ascii="仿宋" w:hAnsi="仿宋" w:eastAsia="仿宋" w:cs="仿宋"/>
                <w:b/>
                <w:bCs/>
                <w:color w:val="auto"/>
                <w:kern w:val="0"/>
                <w:sz w:val="28"/>
                <w:szCs w:val="28"/>
                <w:highlight w:val="none"/>
                <w:lang w:val="en-US" w:eastAsia="zh-CN" w:bidi="ar"/>
              </w:rPr>
              <w:br w:type="textWrapping"/>
            </w:r>
            <w:r>
              <w:rPr>
                <w:rFonts w:hint="eastAsia" w:ascii="仿宋" w:hAnsi="仿宋" w:eastAsia="仿宋" w:cs="仿宋"/>
                <w:b/>
                <w:bCs/>
                <w:color w:val="auto"/>
                <w:kern w:val="0"/>
                <w:sz w:val="28"/>
                <w:szCs w:val="28"/>
                <w:highlight w:val="none"/>
                <w:lang w:val="en-US" w:eastAsia="zh-CN" w:bidi="ar"/>
              </w:rPr>
              <w:t>单位</w:t>
            </w:r>
          </w:p>
        </w:tc>
        <w:tc>
          <w:tcPr>
            <w:tcW w:w="708" w:type="pct"/>
            <w:tcBorders>
              <w:top w:val="single" w:color="000000" w:sz="4" w:space="0"/>
              <w:left w:val="single" w:color="000000" w:sz="4" w:space="0"/>
              <w:bottom w:val="single" w:color="000000" w:sz="4" w:space="0"/>
              <w:right w:val="single" w:color="000000" w:sz="4" w:space="0"/>
            </w:tcBorders>
            <w:noWrap w:val="0"/>
            <w:vAlign w:val="center"/>
          </w:tcPr>
          <w:p w14:paraId="035F0FCD">
            <w:pPr>
              <w:widowControl/>
              <w:jc w:val="center"/>
              <w:textAlignment w:val="center"/>
              <w:rPr>
                <w:rFonts w:hint="default" w:ascii="仿宋" w:hAnsi="仿宋" w:eastAsia="仿宋" w:cs="仿宋"/>
                <w:b/>
                <w:bCs/>
                <w:color w:val="auto"/>
                <w:kern w:val="0"/>
                <w:sz w:val="28"/>
                <w:szCs w:val="28"/>
                <w:highlight w:val="none"/>
                <w:lang w:val="en-US" w:eastAsia="zh-CN" w:bidi="ar"/>
              </w:rPr>
            </w:pPr>
            <w:r>
              <w:rPr>
                <w:rFonts w:hint="eastAsia" w:ascii="仿宋" w:hAnsi="仿宋" w:eastAsia="仿宋" w:cs="仿宋"/>
                <w:b/>
                <w:bCs/>
                <w:color w:val="auto"/>
                <w:kern w:val="0"/>
                <w:sz w:val="28"/>
                <w:szCs w:val="28"/>
                <w:highlight w:val="none"/>
                <w:lang w:val="en-US" w:eastAsia="zh-CN" w:bidi="ar"/>
              </w:rPr>
              <w:t>工程数量</w:t>
            </w:r>
          </w:p>
        </w:tc>
        <w:tc>
          <w:tcPr>
            <w:tcW w:w="889" w:type="pct"/>
            <w:tcBorders>
              <w:top w:val="single" w:color="000000" w:sz="4" w:space="0"/>
              <w:left w:val="single" w:color="000000" w:sz="4" w:space="0"/>
              <w:bottom w:val="single" w:color="000000" w:sz="4" w:space="0"/>
              <w:right w:val="single" w:color="000000" w:sz="4" w:space="0"/>
            </w:tcBorders>
            <w:noWrap w:val="0"/>
            <w:vAlign w:val="center"/>
          </w:tcPr>
          <w:p w14:paraId="000C1816">
            <w:pPr>
              <w:widowControl/>
              <w:jc w:val="center"/>
              <w:textAlignment w:val="center"/>
              <w:rPr>
                <w:rFonts w:hint="eastAsia" w:ascii="仿宋" w:hAnsi="仿宋" w:eastAsia="仿宋" w:cs="仿宋"/>
                <w:b/>
                <w:bCs/>
                <w:color w:val="auto"/>
                <w:kern w:val="0"/>
                <w:sz w:val="28"/>
                <w:szCs w:val="28"/>
                <w:highlight w:val="none"/>
                <w:lang w:val="en-US" w:eastAsia="zh-CN" w:bidi="ar"/>
              </w:rPr>
            </w:pPr>
            <w:r>
              <w:rPr>
                <w:rFonts w:hint="eastAsia" w:ascii="仿宋" w:hAnsi="仿宋" w:eastAsia="仿宋" w:cs="仿宋"/>
                <w:b/>
                <w:bCs/>
                <w:color w:val="auto"/>
                <w:kern w:val="0"/>
                <w:sz w:val="28"/>
                <w:szCs w:val="28"/>
                <w:highlight w:val="none"/>
                <w:lang w:val="en-US" w:eastAsia="zh-CN" w:bidi="ar"/>
              </w:rPr>
              <w:t>全费用综合单价</w:t>
            </w:r>
          </w:p>
          <w:p w14:paraId="258B1B0D">
            <w:pPr>
              <w:widowControl/>
              <w:jc w:val="center"/>
              <w:textAlignment w:val="center"/>
              <w:rPr>
                <w:rFonts w:hint="eastAsia" w:ascii="仿宋" w:hAnsi="仿宋" w:eastAsia="仿宋" w:cs="仿宋"/>
                <w:b/>
                <w:bCs/>
                <w:color w:val="auto"/>
                <w:kern w:val="0"/>
                <w:sz w:val="28"/>
                <w:szCs w:val="28"/>
                <w:highlight w:val="none"/>
                <w:lang w:val="en-US" w:eastAsia="zh-CN" w:bidi="ar"/>
              </w:rPr>
            </w:pPr>
            <w:r>
              <w:rPr>
                <w:rFonts w:hint="eastAsia" w:ascii="仿宋" w:hAnsi="仿宋" w:eastAsia="仿宋" w:cs="仿宋"/>
                <w:b/>
                <w:bCs/>
                <w:color w:val="auto"/>
                <w:kern w:val="0"/>
                <w:sz w:val="28"/>
                <w:szCs w:val="28"/>
                <w:highlight w:val="none"/>
                <w:lang w:val="en-US" w:eastAsia="zh-CN" w:bidi="ar"/>
              </w:rPr>
              <w:t>（元）</w:t>
            </w:r>
          </w:p>
        </w:tc>
        <w:tc>
          <w:tcPr>
            <w:tcW w:w="526" w:type="pct"/>
            <w:tcBorders>
              <w:top w:val="single" w:color="000000" w:sz="4" w:space="0"/>
              <w:left w:val="single" w:color="000000" w:sz="4" w:space="0"/>
              <w:bottom w:val="single" w:color="000000" w:sz="4" w:space="0"/>
              <w:right w:val="single" w:color="000000" w:sz="4" w:space="0"/>
            </w:tcBorders>
            <w:noWrap w:val="0"/>
            <w:vAlign w:val="center"/>
          </w:tcPr>
          <w:p w14:paraId="4CE27DCD">
            <w:pPr>
              <w:widowControl/>
              <w:jc w:val="center"/>
              <w:textAlignment w:val="center"/>
              <w:rPr>
                <w:rFonts w:hint="eastAsia" w:ascii="仿宋" w:hAnsi="仿宋" w:eastAsia="仿宋" w:cs="仿宋"/>
                <w:b/>
                <w:bCs/>
                <w:color w:val="auto"/>
                <w:kern w:val="0"/>
                <w:sz w:val="28"/>
                <w:szCs w:val="28"/>
                <w:highlight w:val="none"/>
                <w:lang w:val="en-US" w:eastAsia="zh-CN" w:bidi="ar"/>
              </w:rPr>
            </w:pPr>
            <w:r>
              <w:rPr>
                <w:rFonts w:hint="eastAsia" w:ascii="仿宋" w:hAnsi="仿宋" w:eastAsia="仿宋" w:cs="仿宋"/>
                <w:b/>
                <w:bCs/>
                <w:color w:val="auto"/>
                <w:kern w:val="0"/>
                <w:sz w:val="28"/>
                <w:szCs w:val="28"/>
                <w:highlight w:val="none"/>
                <w:lang w:val="en-US" w:eastAsia="zh-CN" w:bidi="ar"/>
              </w:rPr>
              <w:t>小计</w:t>
            </w:r>
          </w:p>
          <w:p w14:paraId="1EF0D125">
            <w:pPr>
              <w:widowControl/>
              <w:jc w:val="center"/>
              <w:textAlignment w:val="center"/>
              <w:rPr>
                <w:rFonts w:hint="eastAsia" w:ascii="仿宋" w:hAnsi="仿宋" w:eastAsia="仿宋" w:cs="仿宋"/>
                <w:b/>
                <w:bCs/>
                <w:color w:val="auto"/>
                <w:kern w:val="0"/>
                <w:sz w:val="28"/>
                <w:szCs w:val="28"/>
                <w:highlight w:val="none"/>
                <w:lang w:bidi="ar"/>
              </w:rPr>
            </w:pPr>
            <w:r>
              <w:rPr>
                <w:rFonts w:hint="eastAsia" w:ascii="仿宋" w:hAnsi="仿宋" w:eastAsia="仿宋" w:cs="仿宋"/>
                <w:b/>
                <w:bCs/>
                <w:color w:val="auto"/>
                <w:kern w:val="0"/>
                <w:sz w:val="28"/>
                <w:szCs w:val="28"/>
                <w:highlight w:val="none"/>
                <w:lang w:val="en-US" w:eastAsia="zh-CN" w:bidi="ar"/>
              </w:rPr>
              <w:t>（元）</w:t>
            </w:r>
          </w:p>
        </w:tc>
        <w:tc>
          <w:tcPr>
            <w:tcW w:w="392" w:type="pct"/>
            <w:tcBorders>
              <w:top w:val="single" w:color="000000" w:sz="4" w:space="0"/>
              <w:left w:val="single" w:color="000000" w:sz="4" w:space="0"/>
              <w:bottom w:val="single" w:color="000000" w:sz="4" w:space="0"/>
              <w:right w:val="single" w:color="000000" w:sz="4" w:space="0"/>
            </w:tcBorders>
            <w:noWrap w:val="0"/>
            <w:vAlign w:val="center"/>
          </w:tcPr>
          <w:p w14:paraId="2F733B67">
            <w:pPr>
              <w:widowControl/>
              <w:jc w:val="center"/>
              <w:textAlignment w:val="center"/>
              <w:rPr>
                <w:rFonts w:hint="eastAsia" w:ascii="仿宋" w:hAnsi="仿宋" w:eastAsia="仿宋" w:cs="仿宋"/>
                <w:b/>
                <w:bCs/>
                <w:color w:val="auto"/>
                <w:kern w:val="0"/>
                <w:sz w:val="28"/>
                <w:szCs w:val="28"/>
                <w:highlight w:val="none"/>
                <w:lang w:val="en-US" w:eastAsia="zh-CN" w:bidi="ar"/>
              </w:rPr>
            </w:pPr>
            <w:r>
              <w:rPr>
                <w:rFonts w:hint="eastAsia" w:ascii="仿宋" w:hAnsi="仿宋" w:eastAsia="仿宋" w:cs="仿宋"/>
                <w:b/>
                <w:bCs/>
                <w:color w:val="auto"/>
                <w:kern w:val="0"/>
                <w:sz w:val="28"/>
                <w:szCs w:val="28"/>
                <w:highlight w:val="none"/>
                <w:lang w:val="en-US" w:eastAsia="zh-CN" w:bidi="ar"/>
              </w:rPr>
              <w:t>备注</w:t>
            </w:r>
          </w:p>
        </w:tc>
      </w:tr>
      <w:tr w14:paraId="7239AB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75" w:type="pct"/>
            <w:tcBorders>
              <w:top w:val="single" w:color="000000" w:sz="4" w:space="0"/>
              <w:left w:val="single" w:color="000000" w:sz="4" w:space="0"/>
              <w:bottom w:val="single" w:color="000000" w:sz="4" w:space="0"/>
              <w:right w:val="single" w:color="000000" w:sz="4" w:space="0"/>
            </w:tcBorders>
            <w:noWrap/>
            <w:vAlign w:val="center"/>
          </w:tcPr>
          <w:p w14:paraId="21A18224">
            <w:pPr>
              <w:widowControl/>
              <w:jc w:val="center"/>
              <w:textAlignment w:val="center"/>
              <w:rPr>
                <w:rFonts w:hint="eastAsia" w:ascii="仿宋" w:hAnsi="仿宋" w:eastAsia="仿宋" w:cs="仿宋"/>
                <w:color w:val="auto"/>
                <w:kern w:val="0"/>
                <w:sz w:val="28"/>
                <w:szCs w:val="28"/>
                <w:highlight w:val="none"/>
                <w:lang w:bidi="ar"/>
              </w:rPr>
            </w:pPr>
            <w:r>
              <w:rPr>
                <w:rFonts w:hint="eastAsia" w:ascii="仿宋" w:hAnsi="仿宋" w:eastAsia="仿宋" w:cs="仿宋"/>
                <w:color w:val="auto"/>
                <w:kern w:val="0"/>
                <w:sz w:val="28"/>
                <w:szCs w:val="28"/>
                <w:highlight w:val="none"/>
                <w:lang w:bidi="ar"/>
              </w:rPr>
              <w:t>1</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14:paraId="54A20CB6">
            <w:pPr>
              <w:widowControl/>
              <w:jc w:val="center"/>
              <w:textAlignment w:val="center"/>
              <w:rPr>
                <w:rFonts w:hint="eastAsia" w:ascii="仿宋" w:hAnsi="仿宋" w:eastAsia="仿宋" w:cs="仿宋"/>
                <w:b/>
                <w:bCs/>
                <w:color w:val="auto"/>
                <w:kern w:val="0"/>
                <w:sz w:val="28"/>
                <w:szCs w:val="28"/>
                <w:highlight w:val="none"/>
                <w:lang w:bidi="ar"/>
              </w:rPr>
            </w:pPr>
          </w:p>
        </w:tc>
        <w:tc>
          <w:tcPr>
            <w:tcW w:w="637" w:type="pct"/>
            <w:tcBorders>
              <w:top w:val="single" w:color="000000" w:sz="4" w:space="0"/>
              <w:left w:val="single" w:color="000000" w:sz="4" w:space="0"/>
              <w:bottom w:val="single" w:color="000000" w:sz="4" w:space="0"/>
              <w:right w:val="single" w:color="000000" w:sz="4" w:space="0"/>
            </w:tcBorders>
            <w:noWrap w:val="0"/>
            <w:vAlign w:val="center"/>
          </w:tcPr>
          <w:p w14:paraId="6ABE64D4">
            <w:pPr>
              <w:widowControl/>
              <w:jc w:val="center"/>
              <w:textAlignment w:val="center"/>
              <w:rPr>
                <w:rFonts w:hint="eastAsia" w:ascii="仿宋" w:hAnsi="仿宋" w:eastAsia="仿宋" w:cs="仿宋"/>
                <w:b/>
                <w:bCs/>
                <w:color w:val="auto"/>
                <w:kern w:val="0"/>
                <w:sz w:val="28"/>
                <w:szCs w:val="28"/>
                <w:highlight w:val="none"/>
                <w:lang w:bidi="ar"/>
              </w:rPr>
            </w:pPr>
          </w:p>
        </w:tc>
        <w:tc>
          <w:tcPr>
            <w:tcW w:w="569" w:type="pct"/>
            <w:tcBorders>
              <w:top w:val="single" w:color="000000" w:sz="4" w:space="0"/>
              <w:left w:val="single" w:color="000000" w:sz="4" w:space="0"/>
              <w:bottom w:val="single" w:color="000000" w:sz="4" w:space="0"/>
              <w:right w:val="single" w:color="000000" w:sz="4" w:space="0"/>
            </w:tcBorders>
            <w:noWrap w:val="0"/>
            <w:vAlign w:val="center"/>
          </w:tcPr>
          <w:p w14:paraId="28AB84DB">
            <w:pPr>
              <w:widowControl/>
              <w:jc w:val="center"/>
              <w:textAlignment w:val="center"/>
              <w:rPr>
                <w:rFonts w:hint="eastAsia" w:ascii="仿宋" w:hAnsi="仿宋" w:eastAsia="仿宋" w:cs="仿宋"/>
                <w:b/>
                <w:bCs/>
                <w:color w:val="auto"/>
                <w:kern w:val="0"/>
                <w:sz w:val="28"/>
                <w:szCs w:val="28"/>
                <w:highlight w:val="none"/>
                <w:lang w:bidi="ar"/>
              </w:rPr>
            </w:pPr>
          </w:p>
        </w:tc>
        <w:tc>
          <w:tcPr>
            <w:tcW w:w="708" w:type="pct"/>
            <w:tcBorders>
              <w:top w:val="single" w:color="000000" w:sz="4" w:space="0"/>
              <w:left w:val="single" w:color="000000" w:sz="4" w:space="0"/>
              <w:bottom w:val="single" w:color="000000" w:sz="4" w:space="0"/>
              <w:right w:val="single" w:color="000000" w:sz="4" w:space="0"/>
            </w:tcBorders>
            <w:noWrap w:val="0"/>
            <w:vAlign w:val="center"/>
          </w:tcPr>
          <w:p w14:paraId="6A711DCB">
            <w:pPr>
              <w:widowControl/>
              <w:jc w:val="center"/>
              <w:textAlignment w:val="center"/>
              <w:rPr>
                <w:rFonts w:hint="eastAsia" w:ascii="仿宋" w:hAnsi="仿宋" w:eastAsia="仿宋" w:cs="仿宋"/>
                <w:b/>
                <w:bCs/>
                <w:color w:val="auto"/>
                <w:kern w:val="0"/>
                <w:sz w:val="28"/>
                <w:szCs w:val="28"/>
                <w:highlight w:val="none"/>
                <w:lang w:bidi="ar"/>
              </w:rPr>
            </w:pPr>
          </w:p>
        </w:tc>
        <w:tc>
          <w:tcPr>
            <w:tcW w:w="889" w:type="pct"/>
            <w:tcBorders>
              <w:top w:val="single" w:color="000000" w:sz="4" w:space="0"/>
              <w:left w:val="single" w:color="000000" w:sz="4" w:space="0"/>
              <w:bottom w:val="single" w:color="000000" w:sz="4" w:space="0"/>
              <w:right w:val="single" w:color="000000" w:sz="4" w:space="0"/>
            </w:tcBorders>
            <w:noWrap w:val="0"/>
            <w:vAlign w:val="center"/>
          </w:tcPr>
          <w:p w14:paraId="580688F3">
            <w:pPr>
              <w:widowControl/>
              <w:jc w:val="center"/>
              <w:textAlignment w:val="center"/>
              <w:rPr>
                <w:rFonts w:hint="eastAsia" w:ascii="仿宋" w:hAnsi="仿宋" w:eastAsia="仿宋" w:cs="仿宋"/>
                <w:b/>
                <w:bCs/>
                <w:color w:val="auto"/>
                <w:kern w:val="0"/>
                <w:sz w:val="28"/>
                <w:szCs w:val="28"/>
                <w:highlight w:val="none"/>
                <w:lang w:bidi="ar"/>
              </w:rPr>
            </w:pPr>
          </w:p>
        </w:tc>
        <w:tc>
          <w:tcPr>
            <w:tcW w:w="526" w:type="pct"/>
            <w:tcBorders>
              <w:top w:val="single" w:color="000000" w:sz="4" w:space="0"/>
              <w:left w:val="single" w:color="000000" w:sz="4" w:space="0"/>
              <w:bottom w:val="single" w:color="000000" w:sz="4" w:space="0"/>
              <w:right w:val="single" w:color="000000" w:sz="4" w:space="0"/>
            </w:tcBorders>
            <w:noWrap w:val="0"/>
            <w:vAlign w:val="center"/>
          </w:tcPr>
          <w:p w14:paraId="3E52A3CF">
            <w:pPr>
              <w:widowControl/>
              <w:jc w:val="center"/>
              <w:textAlignment w:val="center"/>
              <w:rPr>
                <w:rFonts w:hint="eastAsia" w:ascii="仿宋" w:hAnsi="仿宋" w:eastAsia="仿宋" w:cs="仿宋"/>
                <w:b/>
                <w:bCs/>
                <w:color w:val="auto"/>
                <w:kern w:val="0"/>
                <w:sz w:val="28"/>
                <w:szCs w:val="28"/>
                <w:highlight w:val="none"/>
                <w:lang w:bidi="ar"/>
              </w:rPr>
            </w:pPr>
          </w:p>
        </w:tc>
        <w:tc>
          <w:tcPr>
            <w:tcW w:w="392" w:type="pct"/>
            <w:tcBorders>
              <w:top w:val="single" w:color="000000" w:sz="4" w:space="0"/>
              <w:left w:val="single" w:color="000000" w:sz="4" w:space="0"/>
              <w:bottom w:val="single" w:color="000000" w:sz="4" w:space="0"/>
              <w:right w:val="single" w:color="000000" w:sz="4" w:space="0"/>
            </w:tcBorders>
            <w:noWrap w:val="0"/>
            <w:vAlign w:val="center"/>
          </w:tcPr>
          <w:p w14:paraId="5CBF21C2">
            <w:pPr>
              <w:widowControl/>
              <w:jc w:val="center"/>
              <w:textAlignment w:val="center"/>
              <w:rPr>
                <w:rFonts w:hint="eastAsia" w:ascii="仿宋" w:hAnsi="仿宋" w:eastAsia="仿宋" w:cs="仿宋"/>
                <w:b/>
                <w:bCs/>
                <w:color w:val="auto"/>
                <w:kern w:val="0"/>
                <w:sz w:val="28"/>
                <w:szCs w:val="28"/>
                <w:highlight w:val="none"/>
                <w:lang w:bidi="ar"/>
              </w:rPr>
            </w:pPr>
          </w:p>
        </w:tc>
      </w:tr>
      <w:tr w14:paraId="3E59A3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75" w:type="pct"/>
            <w:tcBorders>
              <w:top w:val="single" w:color="000000" w:sz="4" w:space="0"/>
              <w:left w:val="single" w:color="000000" w:sz="4" w:space="0"/>
              <w:bottom w:val="single" w:color="000000" w:sz="4" w:space="0"/>
              <w:right w:val="single" w:color="000000" w:sz="4" w:space="0"/>
            </w:tcBorders>
            <w:noWrap/>
            <w:vAlign w:val="center"/>
          </w:tcPr>
          <w:p w14:paraId="1C48BC5F">
            <w:pPr>
              <w:widowControl/>
              <w:jc w:val="center"/>
              <w:textAlignment w:val="center"/>
              <w:rPr>
                <w:rFonts w:hint="eastAsia" w:ascii="仿宋" w:hAnsi="仿宋" w:eastAsia="仿宋" w:cs="仿宋"/>
                <w:color w:val="auto"/>
                <w:kern w:val="0"/>
                <w:sz w:val="28"/>
                <w:szCs w:val="28"/>
                <w:highlight w:val="none"/>
                <w:lang w:bidi="ar"/>
              </w:rPr>
            </w:pPr>
            <w:r>
              <w:rPr>
                <w:rFonts w:hint="eastAsia" w:ascii="仿宋" w:hAnsi="仿宋" w:eastAsia="仿宋" w:cs="仿宋"/>
                <w:color w:val="auto"/>
                <w:kern w:val="0"/>
                <w:sz w:val="28"/>
                <w:szCs w:val="28"/>
                <w:highlight w:val="none"/>
                <w:lang w:bidi="ar"/>
              </w:rPr>
              <w:t>2</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14:paraId="1E766B24">
            <w:pPr>
              <w:widowControl/>
              <w:jc w:val="center"/>
              <w:textAlignment w:val="center"/>
              <w:rPr>
                <w:rFonts w:hint="eastAsia" w:ascii="仿宋" w:hAnsi="仿宋" w:eastAsia="仿宋" w:cs="仿宋"/>
                <w:b/>
                <w:bCs/>
                <w:color w:val="auto"/>
                <w:kern w:val="0"/>
                <w:sz w:val="28"/>
                <w:szCs w:val="28"/>
                <w:highlight w:val="none"/>
                <w:lang w:bidi="ar"/>
              </w:rPr>
            </w:pPr>
          </w:p>
        </w:tc>
        <w:tc>
          <w:tcPr>
            <w:tcW w:w="637" w:type="pct"/>
            <w:tcBorders>
              <w:top w:val="single" w:color="000000" w:sz="4" w:space="0"/>
              <w:left w:val="single" w:color="000000" w:sz="4" w:space="0"/>
              <w:bottom w:val="single" w:color="000000" w:sz="4" w:space="0"/>
              <w:right w:val="single" w:color="000000" w:sz="4" w:space="0"/>
            </w:tcBorders>
            <w:noWrap w:val="0"/>
            <w:vAlign w:val="center"/>
          </w:tcPr>
          <w:p w14:paraId="48FF9440">
            <w:pPr>
              <w:widowControl/>
              <w:jc w:val="center"/>
              <w:textAlignment w:val="center"/>
              <w:rPr>
                <w:rFonts w:hint="eastAsia" w:ascii="仿宋" w:hAnsi="仿宋" w:eastAsia="仿宋" w:cs="仿宋"/>
                <w:b/>
                <w:bCs/>
                <w:color w:val="auto"/>
                <w:kern w:val="0"/>
                <w:sz w:val="28"/>
                <w:szCs w:val="28"/>
                <w:highlight w:val="none"/>
                <w:lang w:bidi="ar"/>
              </w:rPr>
            </w:pPr>
          </w:p>
        </w:tc>
        <w:tc>
          <w:tcPr>
            <w:tcW w:w="569" w:type="pct"/>
            <w:tcBorders>
              <w:top w:val="single" w:color="000000" w:sz="4" w:space="0"/>
              <w:left w:val="single" w:color="000000" w:sz="4" w:space="0"/>
              <w:bottom w:val="single" w:color="000000" w:sz="4" w:space="0"/>
              <w:right w:val="single" w:color="000000" w:sz="4" w:space="0"/>
            </w:tcBorders>
            <w:noWrap w:val="0"/>
            <w:vAlign w:val="center"/>
          </w:tcPr>
          <w:p w14:paraId="092A7BE5">
            <w:pPr>
              <w:widowControl/>
              <w:jc w:val="center"/>
              <w:textAlignment w:val="center"/>
              <w:rPr>
                <w:rFonts w:hint="eastAsia" w:ascii="仿宋" w:hAnsi="仿宋" w:eastAsia="仿宋" w:cs="仿宋"/>
                <w:b/>
                <w:bCs/>
                <w:color w:val="auto"/>
                <w:kern w:val="0"/>
                <w:sz w:val="28"/>
                <w:szCs w:val="28"/>
                <w:highlight w:val="none"/>
                <w:lang w:bidi="ar"/>
              </w:rPr>
            </w:pPr>
          </w:p>
        </w:tc>
        <w:tc>
          <w:tcPr>
            <w:tcW w:w="708" w:type="pct"/>
            <w:tcBorders>
              <w:top w:val="single" w:color="000000" w:sz="4" w:space="0"/>
              <w:left w:val="single" w:color="000000" w:sz="4" w:space="0"/>
              <w:bottom w:val="single" w:color="000000" w:sz="4" w:space="0"/>
              <w:right w:val="single" w:color="000000" w:sz="4" w:space="0"/>
            </w:tcBorders>
            <w:noWrap w:val="0"/>
            <w:vAlign w:val="center"/>
          </w:tcPr>
          <w:p w14:paraId="77E3E661">
            <w:pPr>
              <w:widowControl/>
              <w:jc w:val="center"/>
              <w:textAlignment w:val="center"/>
              <w:rPr>
                <w:rFonts w:hint="eastAsia" w:ascii="仿宋" w:hAnsi="仿宋" w:eastAsia="仿宋" w:cs="仿宋"/>
                <w:b/>
                <w:bCs/>
                <w:color w:val="auto"/>
                <w:kern w:val="0"/>
                <w:sz w:val="28"/>
                <w:szCs w:val="28"/>
                <w:highlight w:val="none"/>
                <w:lang w:bidi="ar"/>
              </w:rPr>
            </w:pPr>
          </w:p>
        </w:tc>
        <w:tc>
          <w:tcPr>
            <w:tcW w:w="889" w:type="pct"/>
            <w:tcBorders>
              <w:top w:val="single" w:color="000000" w:sz="4" w:space="0"/>
              <w:left w:val="single" w:color="000000" w:sz="4" w:space="0"/>
              <w:bottom w:val="single" w:color="000000" w:sz="4" w:space="0"/>
              <w:right w:val="single" w:color="000000" w:sz="4" w:space="0"/>
            </w:tcBorders>
            <w:noWrap w:val="0"/>
            <w:vAlign w:val="center"/>
          </w:tcPr>
          <w:p w14:paraId="532123AC">
            <w:pPr>
              <w:widowControl/>
              <w:jc w:val="center"/>
              <w:textAlignment w:val="center"/>
              <w:rPr>
                <w:rFonts w:hint="eastAsia" w:ascii="仿宋" w:hAnsi="仿宋" w:eastAsia="仿宋" w:cs="仿宋"/>
                <w:b/>
                <w:bCs/>
                <w:color w:val="auto"/>
                <w:kern w:val="0"/>
                <w:sz w:val="28"/>
                <w:szCs w:val="28"/>
                <w:highlight w:val="none"/>
                <w:lang w:bidi="ar"/>
              </w:rPr>
            </w:pPr>
          </w:p>
        </w:tc>
        <w:tc>
          <w:tcPr>
            <w:tcW w:w="526" w:type="pct"/>
            <w:tcBorders>
              <w:top w:val="single" w:color="000000" w:sz="4" w:space="0"/>
              <w:left w:val="single" w:color="000000" w:sz="4" w:space="0"/>
              <w:bottom w:val="single" w:color="000000" w:sz="4" w:space="0"/>
              <w:right w:val="single" w:color="000000" w:sz="4" w:space="0"/>
            </w:tcBorders>
            <w:noWrap w:val="0"/>
            <w:vAlign w:val="center"/>
          </w:tcPr>
          <w:p w14:paraId="708E6FA6">
            <w:pPr>
              <w:widowControl/>
              <w:jc w:val="center"/>
              <w:textAlignment w:val="center"/>
              <w:rPr>
                <w:rFonts w:hint="eastAsia" w:ascii="仿宋" w:hAnsi="仿宋" w:eastAsia="仿宋" w:cs="仿宋"/>
                <w:b/>
                <w:bCs/>
                <w:color w:val="auto"/>
                <w:kern w:val="0"/>
                <w:sz w:val="28"/>
                <w:szCs w:val="28"/>
                <w:highlight w:val="none"/>
                <w:lang w:bidi="ar"/>
              </w:rPr>
            </w:pPr>
          </w:p>
        </w:tc>
        <w:tc>
          <w:tcPr>
            <w:tcW w:w="392" w:type="pct"/>
            <w:tcBorders>
              <w:top w:val="single" w:color="000000" w:sz="4" w:space="0"/>
              <w:left w:val="single" w:color="000000" w:sz="4" w:space="0"/>
              <w:bottom w:val="single" w:color="000000" w:sz="4" w:space="0"/>
              <w:right w:val="single" w:color="000000" w:sz="4" w:space="0"/>
            </w:tcBorders>
            <w:noWrap w:val="0"/>
            <w:vAlign w:val="center"/>
          </w:tcPr>
          <w:p w14:paraId="30B4E3F7">
            <w:pPr>
              <w:widowControl/>
              <w:jc w:val="center"/>
              <w:textAlignment w:val="center"/>
              <w:rPr>
                <w:rFonts w:hint="eastAsia" w:ascii="仿宋" w:hAnsi="仿宋" w:eastAsia="仿宋" w:cs="仿宋"/>
                <w:b/>
                <w:bCs/>
                <w:color w:val="auto"/>
                <w:kern w:val="0"/>
                <w:sz w:val="28"/>
                <w:szCs w:val="28"/>
                <w:highlight w:val="none"/>
                <w:lang w:bidi="ar"/>
              </w:rPr>
            </w:pPr>
          </w:p>
        </w:tc>
      </w:tr>
      <w:tr w14:paraId="1CC6E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75" w:type="pct"/>
            <w:tcBorders>
              <w:top w:val="single" w:color="000000" w:sz="4" w:space="0"/>
              <w:left w:val="single" w:color="000000" w:sz="4" w:space="0"/>
              <w:bottom w:val="single" w:color="000000" w:sz="4" w:space="0"/>
              <w:right w:val="single" w:color="000000" w:sz="4" w:space="0"/>
            </w:tcBorders>
            <w:noWrap/>
            <w:vAlign w:val="center"/>
          </w:tcPr>
          <w:p w14:paraId="7CB14F81">
            <w:pPr>
              <w:widowControl/>
              <w:jc w:val="center"/>
              <w:textAlignment w:val="center"/>
              <w:rPr>
                <w:rFonts w:hint="eastAsia" w:ascii="仿宋" w:hAnsi="仿宋" w:eastAsia="仿宋" w:cs="仿宋"/>
                <w:color w:val="auto"/>
                <w:kern w:val="0"/>
                <w:sz w:val="28"/>
                <w:szCs w:val="28"/>
                <w:highlight w:val="none"/>
                <w:lang w:bidi="ar"/>
              </w:rPr>
            </w:pPr>
            <w:r>
              <w:rPr>
                <w:rFonts w:hint="eastAsia" w:ascii="仿宋" w:hAnsi="仿宋" w:eastAsia="仿宋" w:cs="仿宋"/>
                <w:color w:val="auto"/>
                <w:kern w:val="0"/>
                <w:sz w:val="28"/>
                <w:szCs w:val="28"/>
                <w:highlight w:val="none"/>
                <w:lang w:bidi="ar"/>
              </w:rPr>
              <w:t>3</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14:paraId="1130A356">
            <w:pPr>
              <w:widowControl/>
              <w:jc w:val="center"/>
              <w:textAlignment w:val="center"/>
              <w:rPr>
                <w:rFonts w:hint="eastAsia" w:ascii="仿宋" w:hAnsi="仿宋" w:eastAsia="仿宋" w:cs="仿宋"/>
                <w:b/>
                <w:bCs/>
                <w:color w:val="auto"/>
                <w:kern w:val="0"/>
                <w:sz w:val="28"/>
                <w:szCs w:val="28"/>
                <w:highlight w:val="none"/>
                <w:lang w:bidi="ar"/>
              </w:rPr>
            </w:pPr>
          </w:p>
        </w:tc>
        <w:tc>
          <w:tcPr>
            <w:tcW w:w="637" w:type="pct"/>
            <w:tcBorders>
              <w:top w:val="single" w:color="000000" w:sz="4" w:space="0"/>
              <w:left w:val="single" w:color="000000" w:sz="4" w:space="0"/>
              <w:bottom w:val="single" w:color="000000" w:sz="4" w:space="0"/>
              <w:right w:val="single" w:color="000000" w:sz="4" w:space="0"/>
            </w:tcBorders>
            <w:noWrap w:val="0"/>
            <w:vAlign w:val="center"/>
          </w:tcPr>
          <w:p w14:paraId="705B4EF4">
            <w:pPr>
              <w:widowControl/>
              <w:jc w:val="center"/>
              <w:textAlignment w:val="center"/>
              <w:rPr>
                <w:rFonts w:hint="eastAsia" w:ascii="仿宋" w:hAnsi="仿宋" w:eastAsia="仿宋" w:cs="仿宋"/>
                <w:b/>
                <w:bCs/>
                <w:color w:val="auto"/>
                <w:kern w:val="0"/>
                <w:sz w:val="28"/>
                <w:szCs w:val="28"/>
                <w:highlight w:val="none"/>
                <w:lang w:bidi="ar"/>
              </w:rPr>
            </w:pPr>
          </w:p>
        </w:tc>
        <w:tc>
          <w:tcPr>
            <w:tcW w:w="569" w:type="pct"/>
            <w:tcBorders>
              <w:top w:val="single" w:color="000000" w:sz="4" w:space="0"/>
              <w:left w:val="single" w:color="000000" w:sz="4" w:space="0"/>
              <w:bottom w:val="single" w:color="000000" w:sz="4" w:space="0"/>
              <w:right w:val="single" w:color="000000" w:sz="4" w:space="0"/>
            </w:tcBorders>
            <w:noWrap w:val="0"/>
            <w:vAlign w:val="center"/>
          </w:tcPr>
          <w:p w14:paraId="458452FA">
            <w:pPr>
              <w:widowControl/>
              <w:jc w:val="center"/>
              <w:textAlignment w:val="center"/>
              <w:rPr>
                <w:rFonts w:hint="eastAsia" w:ascii="仿宋" w:hAnsi="仿宋" w:eastAsia="仿宋" w:cs="仿宋"/>
                <w:b/>
                <w:bCs/>
                <w:color w:val="auto"/>
                <w:kern w:val="0"/>
                <w:sz w:val="28"/>
                <w:szCs w:val="28"/>
                <w:highlight w:val="none"/>
                <w:lang w:bidi="ar"/>
              </w:rPr>
            </w:pPr>
          </w:p>
        </w:tc>
        <w:tc>
          <w:tcPr>
            <w:tcW w:w="708" w:type="pct"/>
            <w:tcBorders>
              <w:top w:val="single" w:color="000000" w:sz="4" w:space="0"/>
              <w:left w:val="single" w:color="000000" w:sz="4" w:space="0"/>
              <w:bottom w:val="single" w:color="000000" w:sz="4" w:space="0"/>
              <w:right w:val="single" w:color="000000" w:sz="4" w:space="0"/>
            </w:tcBorders>
            <w:noWrap w:val="0"/>
            <w:vAlign w:val="center"/>
          </w:tcPr>
          <w:p w14:paraId="4BC7029F">
            <w:pPr>
              <w:widowControl/>
              <w:jc w:val="center"/>
              <w:textAlignment w:val="center"/>
              <w:rPr>
                <w:rFonts w:hint="eastAsia" w:ascii="仿宋" w:hAnsi="仿宋" w:eastAsia="仿宋" w:cs="仿宋"/>
                <w:b/>
                <w:bCs/>
                <w:color w:val="auto"/>
                <w:kern w:val="0"/>
                <w:sz w:val="28"/>
                <w:szCs w:val="28"/>
                <w:highlight w:val="none"/>
                <w:lang w:bidi="ar"/>
              </w:rPr>
            </w:pPr>
          </w:p>
        </w:tc>
        <w:tc>
          <w:tcPr>
            <w:tcW w:w="889" w:type="pct"/>
            <w:tcBorders>
              <w:top w:val="single" w:color="000000" w:sz="4" w:space="0"/>
              <w:left w:val="single" w:color="000000" w:sz="4" w:space="0"/>
              <w:bottom w:val="single" w:color="000000" w:sz="4" w:space="0"/>
              <w:right w:val="single" w:color="000000" w:sz="4" w:space="0"/>
            </w:tcBorders>
            <w:noWrap w:val="0"/>
            <w:vAlign w:val="center"/>
          </w:tcPr>
          <w:p w14:paraId="6984E527">
            <w:pPr>
              <w:widowControl/>
              <w:jc w:val="center"/>
              <w:textAlignment w:val="center"/>
              <w:rPr>
                <w:rFonts w:hint="eastAsia" w:ascii="仿宋" w:hAnsi="仿宋" w:eastAsia="仿宋" w:cs="仿宋"/>
                <w:b/>
                <w:bCs/>
                <w:color w:val="auto"/>
                <w:kern w:val="0"/>
                <w:sz w:val="28"/>
                <w:szCs w:val="28"/>
                <w:highlight w:val="none"/>
                <w:lang w:bidi="ar"/>
              </w:rPr>
            </w:pPr>
          </w:p>
        </w:tc>
        <w:tc>
          <w:tcPr>
            <w:tcW w:w="526" w:type="pct"/>
            <w:tcBorders>
              <w:top w:val="single" w:color="000000" w:sz="4" w:space="0"/>
              <w:left w:val="single" w:color="000000" w:sz="4" w:space="0"/>
              <w:bottom w:val="single" w:color="000000" w:sz="4" w:space="0"/>
              <w:right w:val="single" w:color="000000" w:sz="4" w:space="0"/>
            </w:tcBorders>
            <w:noWrap w:val="0"/>
            <w:vAlign w:val="center"/>
          </w:tcPr>
          <w:p w14:paraId="7946D57B">
            <w:pPr>
              <w:widowControl/>
              <w:jc w:val="center"/>
              <w:textAlignment w:val="center"/>
              <w:rPr>
                <w:rFonts w:hint="eastAsia" w:ascii="仿宋" w:hAnsi="仿宋" w:eastAsia="仿宋" w:cs="仿宋"/>
                <w:b/>
                <w:bCs/>
                <w:color w:val="auto"/>
                <w:kern w:val="0"/>
                <w:sz w:val="28"/>
                <w:szCs w:val="28"/>
                <w:highlight w:val="none"/>
                <w:lang w:bidi="ar"/>
              </w:rPr>
            </w:pPr>
          </w:p>
        </w:tc>
        <w:tc>
          <w:tcPr>
            <w:tcW w:w="392" w:type="pct"/>
            <w:tcBorders>
              <w:top w:val="single" w:color="000000" w:sz="4" w:space="0"/>
              <w:left w:val="single" w:color="000000" w:sz="4" w:space="0"/>
              <w:bottom w:val="single" w:color="000000" w:sz="4" w:space="0"/>
              <w:right w:val="single" w:color="000000" w:sz="4" w:space="0"/>
            </w:tcBorders>
            <w:noWrap w:val="0"/>
            <w:vAlign w:val="center"/>
          </w:tcPr>
          <w:p w14:paraId="346885B9">
            <w:pPr>
              <w:widowControl/>
              <w:jc w:val="center"/>
              <w:textAlignment w:val="center"/>
              <w:rPr>
                <w:rFonts w:hint="eastAsia" w:ascii="仿宋" w:hAnsi="仿宋" w:eastAsia="仿宋" w:cs="仿宋"/>
                <w:b/>
                <w:bCs/>
                <w:color w:val="auto"/>
                <w:kern w:val="0"/>
                <w:sz w:val="28"/>
                <w:szCs w:val="28"/>
                <w:highlight w:val="none"/>
                <w:lang w:bidi="ar"/>
              </w:rPr>
            </w:pPr>
          </w:p>
        </w:tc>
      </w:tr>
      <w:tr w14:paraId="707D4C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75" w:type="pct"/>
            <w:tcBorders>
              <w:top w:val="single" w:color="000000" w:sz="4" w:space="0"/>
              <w:left w:val="single" w:color="000000" w:sz="4" w:space="0"/>
              <w:bottom w:val="single" w:color="000000" w:sz="4" w:space="0"/>
              <w:right w:val="single" w:color="000000" w:sz="4" w:space="0"/>
            </w:tcBorders>
            <w:noWrap/>
            <w:vAlign w:val="center"/>
          </w:tcPr>
          <w:p w14:paraId="5180D151">
            <w:pPr>
              <w:widowControl/>
              <w:jc w:val="center"/>
              <w:textAlignment w:val="center"/>
              <w:rPr>
                <w:rFonts w:hint="eastAsia" w:ascii="仿宋" w:hAnsi="仿宋" w:eastAsia="仿宋" w:cs="仿宋"/>
                <w:b/>
                <w:bCs/>
                <w:color w:val="auto"/>
                <w:kern w:val="0"/>
                <w:sz w:val="28"/>
                <w:szCs w:val="28"/>
                <w:highlight w:val="none"/>
                <w:lang w:bidi="ar"/>
              </w:rPr>
            </w:pPr>
            <w:r>
              <w:rPr>
                <w:rFonts w:hint="eastAsia" w:ascii="仿宋" w:hAnsi="仿宋" w:eastAsia="仿宋" w:cs="仿宋"/>
                <w:b/>
                <w:bCs/>
                <w:color w:val="auto"/>
                <w:kern w:val="0"/>
                <w:sz w:val="28"/>
                <w:szCs w:val="28"/>
                <w:highlight w:val="none"/>
                <w:lang w:bidi="ar"/>
              </w:rPr>
              <w:t>...</w:t>
            </w:r>
          </w:p>
        </w:tc>
        <w:tc>
          <w:tcPr>
            <w:tcW w:w="800" w:type="pct"/>
            <w:tcBorders>
              <w:top w:val="single" w:color="000000" w:sz="4" w:space="0"/>
              <w:left w:val="single" w:color="000000" w:sz="4" w:space="0"/>
              <w:bottom w:val="single" w:color="000000" w:sz="4" w:space="0"/>
              <w:right w:val="single" w:color="000000" w:sz="4" w:space="0"/>
            </w:tcBorders>
            <w:noWrap w:val="0"/>
            <w:vAlign w:val="center"/>
          </w:tcPr>
          <w:p w14:paraId="6B33A62F">
            <w:pPr>
              <w:widowControl/>
              <w:jc w:val="center"/>
              <w:textAlignment w:val="center"/>
              <w:rPr>
                <w:rFonts w:hint="eastAsia" w:ascii="仿宋" w:hAnsi="仿宋" w:eastAsia="仿宋" w:cs="仿宋"/>
                <w:b/>
                <w:bCs/>
                <w:color w:val="auto"/>
                <w:kern w:val="0"/>
                <w:sz w:val="28"/>
                <w:szCs w:val="28"/>
                <w:highlight w:val="none"/>
                <w:lang w:bidi="ar"/>
              </w:rPr>
            </w:pPr>
          </w:p>
        </w:tc>
        <w:tc>
          <w:tcPr>
            <w:tcW w:w="637" w:type="pct"/>
            <w:tcBorders>
              <w:top w:val="single" w:color="000000" w:sz="4" w:space="0"/>
              <w:left w:val="single" w:color="000000" w:sz="4" w:space="0"/>
              <w:bottom w:val="single" w:color="000000" w:sz="4" w:space="0"/>
              <w:right w:val="single" w:color="000000" w:sz="4" w:space="0"/>
            </w:tcBorders>
            <w:noWrap w:val="0"/>
            <w:vAlign w:val="center"/>
          </w:tcPr>
          <w:p w14:paraId="2231AB9F">
            <w:pPr>
              <w:widowControl/>
              <w:jc w:val="center"/>
              <w:textAlignment w:val="center"/>
              <w:rPr>
                <w:rFonts w:hint="eastAsia" w:ascii="仿宋" w:hAnsi="仿宋" w:eastAsia="仿宋" w:cs="仿宋"/>
                <w:b/>
                <w:bCs/>
                <w:color w:val="auto"/>
                <w:kern w:val="0"/>
                <w:sz w:val="28"/>
                <w:szCs w:val="28"/>
                <w:highlight w:val="none"/>
                <w:lang w:bidi="ar"/>
              </w:rPr>
            </w:pPr>
          </w:p>
        </w:tc>
        <w:tc>
          <w:tcPr>
            <w:tcW w:w="569" w:type="pct"/>
            <w:tcBorders>
              <w:top w:val="single" w:color="000000" w:sz="4" w:space="0"/>
              <w:left w:val="single" w:color="000000" w:sz="4" w:space="0"/>
              <w:bottom w:val="single" w:color="000000" w:sz="4" w:space="0"/>
              <w:right w:val="single" w:color="000000" w:sz="4" w:space="0"/>
            </w:tcBorders>
            <w:noWrap w:val="0"/>
            <w:vAlign w:val="center"/>
          </w:tcPr>
          <w:p w14:paraId="785AC10A">
            <w:pPr>
              <w:widowControl/>
              <w:jc w:val="center"/>
              <w:textAlignment w:val="center"/>
              <w:rPr>
                <w:rFonts w:hint="eastAsia" w:ascii="仿宋" w:hAnsi="仿宋" w:eastAsia="仿宋" w:cs="仿宋"/>
                <w:b/>
                <w:bCs/>
                <w:color w:val="auto"/>
                <w:kern w:val="0"/>
                <w:sz w:val="28"/>
                <w:szCs w:val="28"/>
                <w:highlight w:val="none"/>
                <w:lang w:bidi="ar"/>
              </w:rPr>
            </w:pPr>
          </w:p>
        </w:tc>
        <w:tc>
          <w:tcPr>
            <w:tcW w:w="708" w:type="pct"/>
            <w:tcBorders>
              <w:top w:val="single" w:color="000000" w:sz="4" w:space="0"/>
              <w:left w:val="single" w:color="000000" w:sz="4" w:space="0"/>
              <w:bottom w:val="single" w:color="000000" w:sz="4" w:space="0"/>
              <w:right w:val="single" w:color="000000" w:sz="4" w:space="0"/>
            </w:tcBorders>
            <w:noWrap w:val="0"/>
            <w:vAlign w:val="center"/>
          </w:tcPr>
          <w:p w14:paraId="0C1FC8CD">
            <w:pPr>
              <w:widowControl/>
              <w:jc w:val="center"/>
              <w:textAlignment w:val="center"/>
              <w:rPr>
                <w:rFonts w:hint="eastAsia" w:ascii="仿宋" w:hAnsi="仿宋" w:eastAsia="仿宋" w:cs="仿宋"/>
                <w:b/>
                <w:bCs/>
                <w:color w:val="auto"/>
                <w:kern w:val="0"/>
                <w:sz w:val="28"/>
                <w:szCs w:val="28"/>
                <w:highlight w:val="none"/>
                <w:lang w:bidi="ar"/>
              </w:rPr>
            </w:pPr>
          </w:p>
        </w:tc>
        <w:tc>
          <w:tcPr>
            <w:tcW w:w="889" w:type="pct"/>
            <w:tcBorders>
              <w:top w:val="single" w:color="000000" w:sz="4" w:space="0"/>
              <w:left w:val="single" w:color="000000" w:sz="4" w:space="0"/>
              <w:bottom w:val="single" w:color="000000" w:sz="4" w:space="0"/>
              <w:right w:val="single" w:color="000000" w:sz="4" w:space="0"/>
            </w:tcBorders>
            <w:noWrap w:val="0"/>
            <w:vAlign w:val="center"/>
          </w:tcPr>
          <w:p w14:paraId="4DA6D46E">
            <w:pPr>
              <w:widowControl/>
              <w:jc w:val="center"/>
              <w:textAlignment w:val="center"/>
              <w:rPr>
                <w:rFonts w:hint="eastAsia" w:ascii="仿宋" w:hAnsi="仿宋" w:eastAsia="仿宋" w:cs="仿宋"/>
                <w:b/>
                <w:bCs/>
                <w:color w:val="auto"/>
                <w:kern w:val="0"/>
                <w:sz w:val="28"/>
                <w:szCs w:val="28"/>
                <w:highlight w:val="none"/>
                <w:lang w:bidi="ar"/>
              </w:rPr>
            </w:pPr>
          </w:p>
        </w:tc>
        <w:tc>
          <w:tcPr>
            <w:tcW w:w="526" w:type="pct"/>
            <w:tcBorders>
              <w:top w:val="single" w:color="000000" w:sz="4" w:space="0"/>
              <w:left w:val="single" w:color="000000" w:sz="4" w:space="0"/>
              <w:bottom w:val="single" w:color="000000" w:sz="4" w:space="0"/>
              <w:right w:val="single" w:color="000000" w:sz="4" w:space="0"/>
            </w:tcBorders>
            <w:noWrap w:val="0"/>
            <w:vAlign w:val="center"/>
          </w:tcPr>
          <w:p w14:paraId="452DF724">
            <w:pPr>
              <w:widowControl/>
              <w:jc w:val="center"/>
              <w:textAlignment w:val="center"/>
              <w:rPr>
                <w:rFonts w:hint="eastAsia" w:ascii="仿宋" w:hAnsi="仿宋" w:eastAsia="仿宋" w:cs="仿宋"/>
                <w:b/>
                <w:bCs/>
                <w:color w:val="auto"/>
                <w:kern w:val="0"/>
                <w:sz w:val="28"/>
                <w:szCs w:val="28"/>
                <w:highlight w:val="none"/>
                <w:lang w:bidi="ar"/>
              </w:rPr>
            </w:pPr>
          </w:p>
        </w:tc>
        <w:tc>
          <w:tcPr>
            <w:tcW w:w="392" w:type="pct"/>
            <w:tcBorders>
              <w:top w:val="single" w:color="000000" w:sz="4" w:space="0"/>
              <w:left w:val="single" w:color="000000" w:sz="4" w:space="0"/>
              <w:bottom w:val="single" w:color="000000" w:sz="4" w:space="0"/>
              <w:right w:val="single" w:color="000000" w:sz="4" w:space="0"/>
            </w:tcBorders>
            <w:noWrap w:val="0"/>
            <w:vAlign w:val="center"/>
          </w:tcPr>
          <w:p w14:paraId="704AB270">
            <w:pPr>
              <w:widowControl/>
              <w:jc w:val="center"/>
              <w:textAlignment w:val="center"/>
              <w:rPr>
                <w:rFonts w:hint="eastAsia" w:ascii="仿宋" w:hAnsi="仿宋" w:eastAsia="仿宋" w:cs="仿宋"/>
                <w:b/>
                <w:bCs/>
                <w:color w:val="auto"/>
                <w:kern w:val="0"/>
                <w:sz w:val="28"/>
                <w:szCs w:val="28"/>
                <w:highlight w:val="none"/>
                <w:lang w:bidi="ar"/>
              </w:rPr>
            </w:pPr>
          </w:p>
        </w:tc>
      </w:tr>
      <w:tr w14:paraId="2E9586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75" w:type="pct"/>
            <w:tcBorders>
              <w:top w:val="single" w:color="000000" w:sz="4" w:space="0"/>
              <w:left w:val="single" w:color="000000" w:sz="4" w:space="0"/>
              <w:bottom w:val="single" w:color="000000" w:sz="4" w:space="0"/>
              <w:right w:val="single" w:color="000000" w:sz="4" w:space="0"/>
            </w:tcBorders>
            <w:noWrap/>
            <w:vAlign w:val="center"/>
          </w:tcPr>
          <w:p w14:paraId="6B76F8F7">
            <w:pPr>
              <w:widowControl/>
              <w:jc w:val="center"/>
              <w:textAlignment w:val="center"/>
              <w:rPr>
                <w:rFonts w:hint="eastAsia" w:ascii="仿宋" w:hAnsi="仿宋" w:eastAsia="仿宋" w:cs="仿宋"/>
                <w:b/>
                <w:bCs/>
                <w:color w:val="auto"/>
                <w:kern w:val="0"/>
                <w:sz w:val="28"/>
                <w:szCs w:val="28"/>
                <w:highlight w:val="none"/>
                <w:lang w:bidi="ar"/>
              </w:rPr>
            </w:pPr>
          </w:p>
        </w:tc>
        <w:tc>
          <w:tcPr>
            <w:tcW w:w="800" w:type="pct"/>
            <w:tcBorders>
              <w:top w:val="single" w:color="000000" w:sz="4" w:space="0"/>
              <w:left w:val="single" w:color="000000" w:sz="4" w:space="0"/>
              <w:bottom w:val="single" w:color="000000" w:sz="4" w:space="0"/>
              <w:right w:val="single" w:color="000000" w:sz="4" w:space="0"/>
            </w:tcBorders>
            <w:noWrap w:val="0"/>
            <w:vAlign w:val="center"/>
          </w:tcPr>
          <w:p w14:paraId="2F5E5543">
            <w:pPr>
              <w:widowControl/>
              <w:jc w:val="center"/>
              <w:textAlignment w:val="center"/>
              <w:rPr>
                <w:rFonts w:hint="eastAsia" w:ascii="仿宋" w:hAnsi="仿宋" w:eastAsia="仿宋" w:cs="仿宋"/>
                <w:b/>
                <w:bCs/>
                <w:color w:val="auto"/>
                <w:kern w:val="0"/>
                <w:sz w:val="28"/>
                <w:szCs w:val="28"/>
                <w:highlight w:val="none"/>
                <w:lang w:bidi="ar"/>
              </w:rPr>
            </w:pPr>
          </w:p>
        </w:tc>
        <w:tc>
          <w:tcPr>
            <w:tcW w:w="637" w:type="pct"/>
            <w:tcBorders>
              <w:top w:val="single" w:color="000000" w:sz="4" w:space="0"/>
              <w:left w:val="single" w:color="000000" w:sz="4" w:space="0"/>
              <w:bottom w:val="single" w:color="000000" w:sz="4" w:space="0"/>
              <w:right w:val="single" w:color="000000" w:sz="4" w:space="0"/>
            </w:tcBorders>
            <w:noWrap w:val="0"/>
            <w:vAlign w:val="center"/>
          </w:tcPr>
          <w:p w14:paraId="4EBE68F2">
            <w:pPr>
              <w:widowControl/>
              <w:jc w:val="center"/>
              <w:textAlignment w:val="center"/>
              <w:rPr>
                <w:rFonts w:hint="eastAsia" w:ascii="仿宋" w:hAnsi="仿宋" w:eastAsia="仿宋" w:cs="仿宋"/>
                <w:b/>
                <w:bCs/>
                <w:color w:val="auto"/>
                <w:kern w:val="0"/>
                <w:sz w:val="28"/>
                <w:szCs w:val="28"/>
                <w:highlight w:val="none"/>
                <w:lang w:bidi="ar"/>
              </w:rPr>
            </w:pPr>
          </w:p>
        </w:tc>
        <w:tc>
          <w:tcPr>
            <w:tcW w:w="569" w:type="pct"/>
            <w:tcBorders>
              <w:top w:val="single" w:color="000000" w:sz="4" w:space="0"/>
              <w:left w:val="single" w:color="000000" w:sz="4" w:space="0"/>
              <w:bottom w:val="single" w:color="000000" w:sz="4" w:space="0"/>
              <w:right w:val="single" w:color="000000" w:sz="4" w:space="0"/>
            </w:tcBorders>
            <w:noWrap w:val="0"/>
            <w:vAlign w:val="center"/>
          </w:tcPr>
          <w:p w14:paraId="38459B52">
            <w:pPr>
              <w:widowControl/>
              <w:jc w:val="center"/>
              <w:textAlignment w:val="center"/>
              <w:rPr>
                <w:rFonts w:hint="eastAsia" w:ascii="仿宋" w:hAnsi="仿宋" w:eastAsia="仿宋" w:cs="仿宋"/>
                <w:b/>
                <w:bCs/>
                <w:color w:val="auto"/>
                <w:kern w:val="0"/>
                <w:sz w:val="28"/>
                <w:szCs w:val="28"/>
                <w:highlight w:val="none"/>
                <w:lang w:bidi="ar"/>
              </w:rPr>
            </w:pPr>
          </w:p>
        </w:tc>
        <w:tc>
          <w:tcPr>
            <w:tcW w:w="708" w:type="pct"/>
            <w:tcBorders>
              <w:top w:val="single" w:color="000000" w:sz="4" w:space="0"/>
              <w:left w:val="single" w:color="000000" w:sz="4" w:space="0"/>
              <w:bottom w:val="single" w:color="000000" w:sz="4" w:space="0"/>
              <w:right w:val="single" w:color="000000" w:sz="4" w:space="0"/>
            </w:tcBorders>
            <w:noWrap w:val="0"/>
            <w:vAlign w:val="center"/>
          </w:tcPr>
          <w:p w14:paraId="6E6DAB1B">
            <w:pPr>
              <w:widowControl/>
              <w:jc w:val="center"/>
              <w:textAlignment w:val="center"/>
              <w:rPr>
                <w:rFonts w:hint="eastAsia" w:ascii="仿宋" w:hAnsi="仿宋" w:eastAsia="仿宋" w:cs="仿宋"/>
                <w:b/>
                <w:bCs/>
                <w:color w:val="auto"/>
                <w:kern w:val="0"/>
                <w:sz w:val="28"/>
                <w:szCs w:val="28"/>
                <w:highlight w:val="none"/>
                <w:lang w:bidi="ar"/>
              </w:rPr>
            </w:pPr>
          </w:p>
        </w:tc>
        <w:tc>
          <w:tcPr>
            <w:tcW w:w="889" w:type="pct"/>
            <w:tcBorders>
              <w:top w:val="single" w:color="000000" w:sz="4" w:space="0"/>
              <w:left w:val="single" w:color="000000" w:sz="4" w:space="0"/>
              <w:bottom w:val="single" w:color="000000" w:sz="4" w:space="0"/>
              <w:right w:val="single" w:color="000000" w:sz="4" w:space="0"/>
            </w:tcBorders>
            <w:noWrap w:val="0"/>
            <w:vAlign w:val="center"/>
          </w:tcPr>
          <w:p w14:paraId="389B9680">
            <w:pPr>
              <w:widowControl/>
              <w:jc w:val="center"/>
              <w:textAlignment w:val="center"/>
              <w:rPr>
                <w:rFonts w:hint="eastAsia" w:ascii="仿宋" w:hAnsi="仿宋" w:eastAsia="仿宋" w:cs="仿宋"/>
                <w:b/>
                <w:bCs/>
                <w:color w:val="auto"/>
                <w:kern w:val="0"/>
                <w:sz w:val="28"/>
                <w:szCs w:val="28"/>
                <w:highlight w:val="none"/>
                <w:lang w:bidi="ar"/>
              </w:rPr>
            </w:pPr>
          </w:p>
        </w:tc>
        <w:tc>
          <w:tcPr>
            <w:tcW w:w="526" w:type="pct"/>
            <w:tcBorders>
              <w:top w:val="single" w:color="000000" w:sz="4" w:space="0"/>
              <w:left w:val="single" w:color="000000" w:sz="4" w:space="0"/>
              <w:bottom w:val="single" w:color="000000" w:sz="4" w:space="0"/>
              <w:right w:val="single" w:color="000000" w:sz="4" w:space="0"/>
            </w:tcBorders>
            <w:noWrap w:val="0"/>
            <w:vAlign w:val="center"/>
          </w:tcPr>
          <w:p w14:paraId="0322F64B">
            <w:pPr>
              <w:widowControl/>
              <w:jc w:val="center"/>
              <w:textAlignment w:val="center"/>
              <w:rPr>
                <w:rFonts w:hint="eastAsia" w:ascii="仿宋" w:hAnsi="仿宋" w:eastAsia="仿宋" w:cs="仿宋"/>
                <w:b/>
                <w:bCs/>
                <w:color w:val="auto"/>
                <w:kern w:val="0"/>
                <w:sz w:val="28"/>
                <w:szCs w:val="28"/>
                <w:highlight w:val="none"/>
                <w:lang w:bidi="ar"/>
              </w:rPr>
            </w:pPr>
          </w:p>
        </w:tc>
        <w:tc>
          <w:tcPr>
            <w:tcW w:w="392" w:type="pct"/>
            <w:tcBorders>
              <w:top w:val="single" w:color="000000" w:sz="4" w:space="0"/>
              <w:left w:val="single" w:color="000000" w:sz="4" w:space="0"/>
              <w:bottom w:val="single" w:color="000000" w:sz="4" w:space="0"/>
              <w:right w:val="single" w:color="000000" w:sz="4" w:space="0"/>
            </w:tcBorders>
            <w:noWrap w:val="0"/>
            <w:vAlign w:val="center"/>
          </w:tcPr>
          <w:p w14:paraId="122DED49">
            <w:pPr>
              <w:widowControl/>
              <w:jc w:val="center"/>
              <w:textAlignment w:val="center"/>
              <w:rPr>
                <w:rFonts w:hint="eastAsia" w:ascii="仿宋" w:hAnsi="仿宋" w:eastAsia="仿宋" w:cs="仿宋"/>
                <w:b/>
                <w:bCs/>
                <w:color w:val="auto"/>
                <w:kern w:val="0"/>
                <w:sz w:val="28"/>
                <w:szCs w:val="28"/>
                <w:highlight w:val="none"/>
                <w:lang w:bidi="ar"/>
              </w:rPr>
            </w:pPr>
          </w:p>
        </w:tc>
      </w:tr>
      <w:tr w14:paraId="2345DF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4081" w:type="pct"/>
            <w:gridSpan w:val="6"/>
            <w:tcBorders>
              <w:top w:val="single" w:color="000000" w:sz="4" w:space="0"/>
              <w:left w:val="single" w:color="000000" w:sz="4" w:space="0"/>
              <w:bottom w:val="single" w:color="000000" w:sz="4" w:space="0"/>
              <w:right w:val="single" w:color="000000" w:sz="4" w:space="0"/>
            </w:tcBorders>
            <w:noWrap/>
            <w:vAlign w:val="center"/>
          </w:tcPr>
          <w:p w14:paraId="299726A0">
            <w:pPr>
              <w:widowControl/>
              <w:jc w:val="center"/>
              <w:textAlignment w:val="center"/>
              <w:rPr>
                <w:rFonts w:hint="eastAsia" w:ascii="仿宋" w:hAnsi="仿宋" w:eastAsia="仿宋" w:cs="仿宋"/>
                <w:b/>
                <w:bCs/>
                <w:color w:val="auto"/>
                <w:kern w:val="0"/>
                <w:sz w:val="28"/>
                <w:szCs w:val="28"/>
                <w:highlight w:val="none"/>
                <w:lang w:bidi="ar"/>
              </w:rPr>
            </w:pPr>
            <w:r>
              <w:rPr>
                <w:rFonts w:hint="eastAsia" w:ascii="仿宋" w:hAnsi="仿宋" w:eastAsia="仿宋" w:cs="仿宋"/>
                <w:b/>
                <w:bCs/>
                <w:color w:val="auto"/>
                <w:kern w:val="0"/>
                <w:sz w:val="28"/>
                <w:szCs w:val="28"/>
                <w:highlight w:val="none"/>
                <w:lang w:bidi="ar"/>
              </w:rPr>
              <w:t xml:space="preserve">合计：大写：人民币      </w:t>
            </w:r>
            <w:r>
              <w:rPr>
                <w:rFonts w:hint="eastAsia" w:ascii="仿宋" w:hAnsi="仿宋" w:eastAsia="仿宋" w:cs="仿宋"/>
                <w:b/>
                <w:bCs/>
                <w:color w:val="auto"/>
                <w:kern w:val="0"/>
                <w:sz w:val="28"/>
                <w:szCs w:val="28"/>
                <w:highlight w:val="none"/>
                <w:lang w:val="en-US" w:eastAsia="zh-CN" w:bidi="ar"/>
              </w:rPr>
              <w:t xml:space="preserve">     </w:t>
            </w:r>
            <w:r>
              <w:rPr>
                <w:rFonts w:hint="eastAsia" w:ascii="仿宋" w:hAnsi="仿宋" w:eastAsia="仿宋" w:cs="仿宋"/>
                <w:b/>
                <w:bCs/>
                <w:color w:val="auto"/>
                <w:kern w:val="0"/>
                <w:sz w:val="28"/>
                <w:szCs w:val="28"/>
                <w:highlight w:val="none"/>
                <w:lang w:bidi="ar"/>
              </w:rPr>
              <w:t xml:space="preserve"> </w:t>
            </w:r>
            <w:r>
              <w:rPr>
                <w:rFonts w:hint="eastAsia" w:ascii="仿宋" w:hAnsi="仿宋" w:eastAsia="仿宋" w:cs="仿宋"/>
                <w:b/>
                <w:bCs/>
                <w:color w:val="auto"/>
                <w:kern w:val="0"/>
                <w:sz w:val="28"/>
                <w:szCs w:val="28"/>
                <w:highlight w:val="none"/>
                <w:lang w:val="en-US" w:eastAsia="zh-CN" w:bidi="ar"/>
              </w:rPr>
              <w:t xml:space="preserve">    </w:t>
            </w:r>
            <w:r>
              <w:rPr>
                <w:rFonts w:hint="eastAsia" w:ascii="仿宋" w:hAnsi="仿宋" w:eastAsia="仿宋" w:cs="仿宋"/>
                <w:b/>
                <w:bCs/>
                <w:color w:val="auto"/>
                <w:kern w:val="0"/>
                <w:sz w:val="28"/>
                <w:szCs w:val="28"/>
                <w:highlight w:val="none"/>
                <w:lang w:bidi="ar"/>
              </w:rPr>
              <w:t xml:space="preserve">   （小写：       ）</w:t>
            </w:r>
          </w:p>
        </w:tc>
        <w:tc>
          <w:tcPr>
            <w:tcW w:w="526" w:type="pct"/>
            <w:tcBorders>
              <w:top w:val="single" w:color="000000" w:sz="4" w:space="0"/>
              <w:left w:val="single" w:color="000000" w:sz="4" w:space="0"/>
              <w:bottom w:val="single" w:color="000000" w:sz="4" w:space="0"/>
              <w:right w:val="single" w:color="000000" w:sz="4" w:space="0"/>
            </w:tcBorders>
            <w:noWrap/>
            <w:vAlign w:val="center"/>
          </w:tcPr>
          <w:p w14:paraId="748CF191">
            <w:pPr>
              <w:widowControl/>
              <w:jc w:val="center"/>
              <w:textAlignment w:val="center"/>
              <w:rPr>
                <w:rFonts w:hint="eastAsia" w:ascii="仿宋" w:hAnsi="仿宋" w:eastAsia="仿宋" w:cs="仿宋"/>
                <w:b/>
                <w:bCs/>
                <w:color w:val="auto"/>
                <w:kern w:val="0"/>
                <w:sz w:val="28"/>
                <w:szCs w:val="28"/>
                <w:highlight w:val="none"/>
                <w:lang w:bidi="ar"/>
              </w:rPr>
            </w:pPr>
          </w:p>
        </w:tc>
        <w:tc>
          <w:tcPr>
            <w:tcW w:w="392" w:type="pct"/>
            <w:tcBorders>
              <w:top w:val="single" w:color="000000" w:sz="4" w:space="0"/>
              <w:left w:val="single" w:color="000000" w:sz="4" w:space="0"/>
              <w:bottom w:val="single" w:color="000000" w:sz="4" w:space="0"/>
              <w:right w:val="single" w:color="000000" w:sz="4" w:space="0"/>
            </w:tcBorders>
            <w:noWrap/>
            <w:vAlign w:val="center"/>
          </w:tcPr>
          <w:p w14:paraId="43775D51">
            <w:pPr>
              <w:widowControl/>
              <w:jc w:val="center"/>
              <w:textAlignment w:val="center"/>
              <w:rPr>
                <w:rFonts w:hint="eastAsia" w:ascii="仿宋" w:hAnsi="仿宋" w:eastAsia="仿宋" w:cs="仿宋"/>
                <w:b/>
                <w:bCs/>
                <w:color w:val="auto"/>
                <w:kern w:val="0"/>
                <w:sz w:val="28"/>
                <w:szCs w:val="28"/>
                <w:highlight w:val="none"/>
                <w:lang w:bidi="ar"/>
              </w:rPr>
            </w:pPr>
          </w:p>
        </w:tc>
      </w:tr>
    </w:tbl>
    <w:p w14:paraId="7E5F393A">
      <w:pPr>
        <w:pStyle w:val="2"/>
        <w:rPr>
          <w:rFonts w:hint="default"/>
          <w:color w:val="auto"/>
          <w:highlight w:val="none"/>
          <w:lang w:val="en-US" w:eastAsia="zh-CN"/>
        </w:rPr>
      </w:pPr>
    </w:p>
    <w:p w14:paraId="1E54F579"/>
    <w:sectPr>
      <w:pgSz w:w="11900" w:h="16840"/>
      <w:pgMar w:top="1134" w:right="1134" w:bottom="1134" w:left="1134" w:header="0" w:footer="0" w:gutter="0"/>
      <w:pgNumType w:fmt="decimal"/>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CB074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style>
  <w:style w:type="paragraph" w:styleId="3">
    <w:name w:val="Normal Indent"/>
    <w:basedOn w:val="1"/>
    <w:next w:val="1"/>
    <w:qFormat/>
    <w:uiPriority w:val="0"/>
    <w:pPr>
      <w:ind w:firstLine="420"/>
    </w:pPr>
  </w:style>
  <w:style w:type="paragraph" w:styleId="4">
    <w:name w:val="footer"/>
    <w:basedOn w:val="1"/>
    <w:next w:val="2"/>
    <w:unhideWhenUsed/>
    <w:qFormat/>
    <w:uiPriority w:val="0"/>
    <w:pPr>
      <w:tabs>
        <w:tab w:val="center" w:pos="4153"/>
        <w:tab w:val="right" w:pos="8306"/>
      </w:tabs>
    </w:pPr>
    <w:rPr>
      <w:rFonts w:hint="eastAsia" w:ascii="宋体" w:hAnsi="宋体" w:eastAsia="仿宋" w:cs="宋体"/>
      <w:sz w:val="18"/>
      <w:szCs w:val="18"/>
    </w:rPr>
  </w:style>
  <w:style w:type="paragraph" w:styleId="5">
    <w:name w:val="Normal (Web)"/>
    <w:basedOn w:val="1"/>
    <w:unhideWhenUsed/>
    <w:qFormat/>
    <w:uiPriority w:val="0"/>
    <w:pPr>
      <w:widowControl w:val="0"/>
      <w:jc w:val="both"/>
    </w:pPr>
    <w:rPr>
      <w:rFonts w:ascii="Times New Roman" w:hAnsi="Times New Roman" w:eastAsia="宋体" w:cs="Times New Roman"/>
      <w:kern w:val="2"/>
      <w:sz w:val="24"/>
      <w:szCs w:val="20"/>
      <w:lang w:eastAsia="zh-CN"/>
    </w:rPr>
  </w:style>
  <w:style w:type="paragraph" w:styleId="6">
    <w:name w:val="Body Text First Indent"/>
    <w:basedOn w:val="2"/>
    <w:qFormat/>
    <w:uiPriority w:val="0"/>
    <w:pPr>
      <w:spacing w:after="120"/>
      <w:ind w:firstLine="420" w:firstLineChars="100"/>
    </w:pPr>
    <w:rPr>
      <w:rFonts w:ascii="Times New Roman" w:hAnsi="Times New Roman" w:eastAsia="宋体" w:cs="Times New Roman"/>
      <w:kern w:val="2"/>
      <w:sz w:val="28"/>
      <w:szCs w:val="24"/>
    </w:rPr>
  </w:style>
  <w:style w:type="paragraph" w:customStyle="1" w:styleId="9">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2025-08-29T08:52:58Z</dcterms:created>
  <dc:creator>123</dc:creator>
  <cp:lastModifiedBy>七安</cp:lastModifiedBy>
  <dcterms:modified xsi:type="dcterms:W3CDTF">2025-08-29T08:53:14Z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FB5C110C76C9441FA1D5B29E1D395C83_12</vt:lpwstr>
  </property>
</Properties>
</file>