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版本号：LZBE2025-1541（XDZ2025-271-N-176）20250910001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2025年社保掌上服务大厅运维及功能新增项目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LZBE2025-1541（XDZ2025-271-N-176）</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2025年社保掌上服务大厅运维及功能新增项目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LZBE2025-1541（XDZ2025-271-N-176）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2025年社保掌上服务大厅运维及功能新增项目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2025年社保掌上服务大厅运维及功能新增项目1项，具体详见采购需求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采购包1（2025年社保掌上服务大厅运维及功能新增项目）：属于专门面向中小企业采购。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p>
      <w:pPr>
        <w:pStyle w:val="null3"/>
      </w:pPr>
      <w:r>
        <w:rPr>
          <w:rFonts w:ascii="仿宋_GB2312" w:hAnsi="仿宋_GB2312" w:cs="仿宋_GB2312" w:eastAsia="仿宋_GB2312"/>
        </w:rPr>
        <w:t>3、财务状况：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p>
      <w:pPr>
        <w:pStyle w:val="null3"/>
      </w:pPr>
      <w:r>
        <w:rPr>
          <w:rFonts w:ascii="仿宋_GB2312" w:hAnsi="仿宋_GB2312" w:cs="仿宋_GB2312" w:eastAsia="仿宋_GB2312"/>
        </w:rPr>
        <w:t>6、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81163323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布的《招标代理服务收费管理暂行办法》（计价格[2002]1980号）和（发改办价格[2003]857号）中的收费标准计取。注：1、成交单位在领取成交通知书之前，须向代理机构支付招标代理服务费。2、、招标代理服务费以转账或现金形式缴纳至以下账户： 开户名称：龙寰项目管理咨询有限公司，开户银行：平安银行西安高新路支行，账 号：30201278017464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2025年社保掌上服务大厅运维及功能新增项目1项，具体详见采购需求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社保掌上服务大厅运维及功能新增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标的名称：社保掌上服务大厅运维及功能新增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一、项目名称：</w:t>
            </w:r>
          </w:p>
          <w:p>
            <w:pPr>
              <w:pStyle w:val="null3"/>
              <w:ind w:firstLine="400"/>
              <w:jc w:val="left"/>
            </w:pPr>
            <w:r>
              <w:rPr>
                <w:rFonts w:ascii="仿宋_GB2312" w:hAnsi="仿宋_GB2312" w:cs="仿宋_GB2312" w:eastAsia="仿宋_GB2312"/>
                <w:sz w:val="20"/>
              </w:rPr>
              <w:t>社保掌上服务大厅运维及功能新增项目</w:t>
            </w:r>
          </w:p>
          <w:p>
            <w:pPr>
              <w:pStyle w:val="null3"/>
              <w:ind w:firstLine="400"/>
              <w:jc w:val="left"/>
            </w:pPr>
            <w:r>
              <w:rPr>
                <w:rFonts w:ascii="仿宋_GB2312" w:hAnsi="仿宋_GB2312" w:cs="仿宋_GB2312" w:eastAsia="仿宋_GB2312"/>
                <w:sz w:val="20"/>
              </w:rPr>
              <w:t>二、项目内容：</w:t>
            </w:r>
          </w:p>
          <w:p>
            <w:pPr>
              <w:pStyle w:val="null3"/>
              <w:ind w:firstLine="400"/>
              <w:jc w:val="left"/>
            </w:pPr>
            <w:r>
              <w:rPr>
                <w:rFonts w:ascii="仿宋_GB2312" w:hAnsi="仿宋_GB2312" w:cs="仿宋_GB2312" w:eastAsia="仿宋_GB2312"/>
                <w:sz w:val="20"/>
                <w:color w:val="000000"/>
              </w:rPr>
              <w:t>对功能模块进行适应性改造升级，主要包含新增医药机构用户功能和相关业务类线上功能两部分，具体内容见项目采购需求。</w:t>
            </w:r>
          </w:p>
          <w:p>
            <w:pPr>
              <w:pStyle w:val="null3"/>
              <w:ind w:firstLine="400"/>
              <w:jc w:val="left"/>
            </w:pPr>
            <w:r>
              <w:rPr>
                <w:rFonts w:ascii="仿宋_GB2312" w:hAnsi="仿宋_GB2312" w:cs="仿宋_GB2312" w:eastAsia="仿宋_GB2312"/>
                <w:sz w:val="20"/>
                <w:color w:val="000000"/>
              </w:rPr>
              <w:t>三、项目周期（服务期限）：</w:t>
            </w:r>
            <w:r>
              <w:rPr>
                <w:rFonts w:ascii="仿宋_GB2312" w:hAnsi="仿宋_GB2312" w:cs="仿宋_GB2312" w:eastAsia="仿宋_GB2312"/>
                <w:sz w:val="20"/>
              </w:rPr>
              <w:t>合同签订6个月内完成开发</w:t>
            </w:r>
          </w:p>
          <w:p>
            <w:pPr>
              <w:pStyle w:val="null3"/>
              <w:ind w:firstLine="400"/>
              <w:jc w:val="left"/>
            </w:pPr>
            <w:r>
              <w:rPr>
                <w:rFonts w:ascii="仿宋_GB2312" w:hAnsi="仿宋_GB2312" w:cs="仿宋_GB2312" w:eastAsia="仿宋_GB2312"/>
                <w:sz w:val="20"/>
                <w:color w:val="000000"/>
              </w:rPr>
              <w:t>四、项目</w:t>
            </w:r>
            <w:r>
              <w:rPr>
                <w:rFonts w:ascii="仿宋_GB2312" w:hAnsi="仿宋_GB2312" w:cs="仿宋_GB2312" w:eastAsia="仿宋_GB2312"/>
                <w:sz w:val="20"/>
              </w:rPr>
              <w:t>采购要求（包含但不限于以下功能）：</w:t>
            </w:r>
          </w:p>
          <w:tbl>
            <w:tblPr>
              <w:tblBorders>
                <w:top w:val="single"/>
                <w:left w:val="single"/>
                <w:bottom w:val="single"/>
                <w:right w:val="single"/>
                <w:insideH w:val="single"/>
                <w:insideV w:val="single"/>
              </w:tblBorders>
            </w:tblPr>
            <w:tblGrid>
              <w:gridCol w:w="228"/>
              <w:gridCol w:w="455"/>
              <w:gridCol w:w="557"/>
              <w:gridCol w:w="1265"/>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用户</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功能</w:t>
                  </w:r>
                </w:p>
              </w:tc>
              <w:tc>
                <w:tcPr>
                  <w:tcW w:type="dxa" w:w="1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功能说明（包含不限于）</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医药机构用户注册</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导入医疗核心系统审核通过的高新区医疗机构信息，生成机构登录初始信息，以统一信用代码校验。</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医药机构用户信息维护</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维护注册账号的基本信息，姓名、证件号、电话</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医保历史结算数据查询</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导入慢性病药店、开通统筹的医疗机构的医保统筹基金数据，设置比对条件，查询比对信息。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医保监管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导入医保费用总额数据，设置筛选条件（同比金额、增长率），筛选后的单位，批量或单个发送通知。2.查看上传的资料。</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医药知识库信息维护</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新增、修改、删除医药知识库和规则库信息。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疑点数据通知</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点对点对app医药机构、app单位用户发送上级下发的疑点数据，发送附件；可查询消息是否已读，附件是否下载；查询历史发送信息；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医疗机构地图区域展示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在地图上展示高新区的医疗机构分布情况、数量、密度等信息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医保零星报销银行账户修改审核</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查询审核app提交的变更申请，打印变更信息表格。</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产检补贴导入、删除管理</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导出、删除产检补贴人员信息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掌厅业务办理数据分析统计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查询统计掌厅办理业务情况，需要业务名称、申请起止日期、提交数量、通过数量、拒绝数量等。</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档案邮寄</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调用邮政接口，查询邮寄情况。</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失业数据稽核</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导入疑点数据匹配该段时间的参保信息明细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灵活就业线上支付</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灵活就业涉及支付类业务，业务线上推送至财务，财务线上两级审核，无误后完成支付，并进行相应账务处理，对账，出具财务报表</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医药机构</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医药数据查询</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查询本机构统筹基金使用情况；可进行数据比对查询。</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医药机构</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医保监管资料上传</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接到医保监管模块筛选的通知的单位，上传资料图片。</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医药机构</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机构登录</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初次登录录入单位统一信用代码校验。</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医药机构</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医药机构知识库查询</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查询知识库、规则库等信息。</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医药机构、app单位用户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疑点数据查询、反馈</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查询下发的数据并下载。将核查结果上传反馈。（pdf、doc或excel格式附件）</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个人用户、app单位用户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医保零星报销银行账户修改</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上传银行卡照片，填写开户行信息、银行账号、户名。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失业人员生育待遇</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领取失业金人员享受生育待遇，填写相关信息，拍照上传发票等，提交审核</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医保参保证明打印</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跳转陕西医保小程序</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医保电子凭证激活</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跳转微信小程序</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药品比价</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跳转西安医保小程序</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工作人员</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被征地人员认证</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手机认证</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工作人员</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被征地人员认证查询</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查询认证情况</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灵活就业人员退休申请</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根据个人参保信息增加履历确认功能以及退休资料上传功能，包含流程进度查看、图片删除等功能，增加电脑审核端，审核退休申请业务，包含图片查看图片下载，部分内容可修改、业务审核通过提示、打回提示以及数据导出功能。</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灵活就业失败重支</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灵活就业支付类业务，根据灵活就业线上支付模块的回传结果，对于支付失败的数据系统自动发起重新申请、审核、支付环节，直至支付成功</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28</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灵活就业支付类业务提交</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灵活就业支付类业务，增加根据支付类型和支付批次提交功能，</w:t>
                  </w:r>
                  <w:r>
                    <w:rPr>
                      <w:rFonts w:ascii="仿宋_GB2312" w:hAnsi="仿宋_GB2312" w:cs="仿宋_GB2312" w:eastAsia="仿宋_GB2312"/>
                      <w:sz w:val="20"/>
                      <w:color w:val="000000"/>
                    </w:rPr>
                    <w:t>数据提交后流转到灵</w:t>
                  </w:r>
                  <w:r>
                    <w:rPr>
                      <w:rFonts w:ascii="仿宋_GB2312" w:hAnsi="仿宋_GB2312" w:cs="仿宋_GB2312" w:eastAsia="仿宋_GB2312"/>
                      <w:sz w:val="20"/>
                      <w:color w:val="000000"/>
                    </w:rPr>
                    <w:t>活就业线上支付模块，由财务审核后至银行端支付</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29</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单位用户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档案批量业务预约</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单位上传所需资料 ，填报单位经办人信息（联系电话）</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档案批量业务预约（审核）</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审核提交预约申请，审核通过后同步告知（或者线上直接查询）预约办理时间及地点。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31</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弹窗（填报）公告通知发布管理</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新增/删除发布，新增时选择发布类型（通知、填报）、选择发布用户（app个人用户、app单位用户、工作人员用户、app医药机构）、通知内容、选择反馈标识。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32</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弹窗（填报）公告发通知发布审核</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新增/删除发布审核</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33</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电脑审核端</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弹窗（填报）公告发通知发布查询</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录入起止日期，查询已发布的弹窗列表，展示：弹窗发布日期、弹窗标题、弹窗发布对象。弹窗状态（已停止、正常）、弹窗内容、报表数据收集详情；2.弹窗报表的，在数据收集详情中弹窗显示：列表展示已提交的各项目信息，如：用户名称、提交日期，填报项目内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34</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个人用户、app单位用户、工作人员用户、app医药机构</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弹窗展示</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展示弹窗发布的内容，软提示，不强制，登录后，显示弹窗，可自行关闭弹窗，只要不点击，下次登录继续弹窗。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app</w:t>
                  </w:r>
                  <w:r>
                    <w:rPr>
                      <w:rFonts w:ascii="仿宋_GB2312" w:hAnsi="仿宋_GB2312" w:cs="仿宋_GB2312" w:eastAsia="仿宋_GB2312"/>
                      <w:sz w:val="20"/>
                      <w:color w:val="000000"/>
                    </w:rPr>
                    <w:t>个人用户、app单位用户、工作人员用户、app医药机构</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弹窗内容查询</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只能查询登录用户接收到已发布的弹窗内容：发布时间、题目（点击进去显示内容）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合同签订6个月内完成开发。</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系统开发完成上线，验收合格后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 为顺利推进政府采购电子化交易平台应用工作，供应商需要在线提交所有通过电子化交易平台实施的政府采购项目的响应文件，同时，线下提交纸质响应文件正本一份、副本一份、电子版一份（U盘壹份，电子版文件需为上传至系统后签字盖章的PDF版文件），具体要求详见磋商公告。 4、因电子化交易系统设置、本章3.3.5条款（支付约定）无法修改，因此，此处的付款方式说明是对3.3.5条款支付约定的解释、补充及说明，若出现不一致时，以此处付款方式为：1）合同签订后50个工作日内，甲方向乙方支付合同总价的40%。2）系统开发完成上线，验收合格后50个工作日内，甲方向乙方支付项目总款项的60%。 （二）乙方在每次接受付款前，需开具等额发票给甲方。 （三）支付方式：银行转账 3、合同有效期内，合同单价不受国家政策性调价或价格变化及外汇汇率变化的影响。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四、相关资格证明资料.docx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四、相关资格证明资料.docx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四、相关资格证明资料.docx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w:t>
            </w:r>
          </w:p>
        </w:tc>
        <w:tc>
          <w:tcPr>
            <w:tcW w:type="dxa" w:w="1661"/>
          </w:tcPr>
          <w:p>
            <w:pPr>
              <w:pStyle w:val="null3"/>
            </w:pPr>
            <w:r>
              <w:rPr>
                <w:rFonts w:ascii="仿宋_GB2312" w:hAnsi="仿宋_GB2312" w:cs="仿宋_GB2312" w:eastAsia="仿宋_GB2312"/>
              </w:rPr>
              <w:t>四、相关资格证明资料.docx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项目周期（服务期限）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一、磋商响应第一次报价表.docx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一、磋商响应第一次报价表.docx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响应文件封面 一、磋商响应第一次报价表.docx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三、授权委托书.docx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中小企业声明函 四、相关资格证明资料.docx 报价表 二、分项报价表.docx 五、技术响应.docx 一、磋商响应第一次报价表.docx 响应文件封面 三、授权委托书.docx 残疾人福利性单位声明函 六、承诺书.docx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一、磋商响应第一次报价表.docx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中小企业声明函 四、相关资格证明资料.docx 报价表 二、分项报价表.docx 五、技术响应.docx 响应文件封面 一、磋商响应第一次报价表.docx 三、授权委托书.docx 残疾人福利性单位声明函 六、承诺书.docx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针对本项目建设目标和各项建设任务，提出整体服务方案。 二、赋分标准（满分21分） 整体服务方案主要包括①对本项目工作内容的理解及背景分析；②系统改造流程；③系统改造实现的功能；④突出升级改造的要素及重点；⑤阐述升级改造范围；⑥系统故障的预防和处理；⑦运行维护管理体系。 以上内容专门针对本项目且阐述明细、全面、合理得21分，每缺一项内容扣3分,若上述内容存在瑕疵，每出现一处瑕疵扣1分，扣完为止。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 针对本项目建设目标和各项建设任务，提出项目实施进度计划。 二、赋分标准（满分12分） 项目实施进度计划内容至少包括①项目实施进度目标分析；②项目改造进度计划安排；③项目进度保障措施等。以上内容专门针对本项目且阐述明细、全面、合理得12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一、评审内容 针对本项目建设目标和各项建设任务，提出服务保证措施。 二、赋分标准（满分9分） 质量保证措施内容至少包括①质量保障方案；②质量目标；③后期回访、检修，协助验收等。以上内容专门针对本项目且阐述明细、全面、合理得9分，每缺一项内容扣3分 , 若上述内容存在瑕疵，每出现一处瑕疵扣1分，扣完为止。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针对本项目建设目标和各项建设任务，提出项目团队配置。 二、赋分标准（满分12分） 项目团队配置内容至少包括①团队组织人员配置明细；②团队人员管理制度；③各专业岗位配置；④配置人员资格、职称及工作经验等。 以上内容专门针对本项目且阐述明细、全面、合理得12分，每缺一项内容扣3分 , 若上述内容存在瑕疵，每出现一处瑕疵扣1分，扣完为止。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针对本项目建设目标和各项建设任务，提出培训方案。 二、赋分标准（满分12分） 培训方案内容至少包括①培训目标；②培训计划；③培训组织方式；④培训内容及质量保证措施等方面。 以上内容专门针对本项目且符合本项目实际需求的得12分，每缺一项内容扣3分，若上述内容存在瑕疵，每存在1处瑕疵扣1分，扣完为止。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自2022年1月1日至今（以合同签订日期为准），供应商同类项目业绩（软件运维或开发或系统升级改造等相关业绩），每提供一份有效合同得3分，最多得15分。业绩证明材料需提供合同关键页（包含项目名称、服务内容、签订日期、双方盖章页）</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五、技术响应.docx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企业具有ISO9000、ITSS 3 级及以上、CMMI3 级及以上证书、每有1个，得3分，满分9分.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四、相关资格证明资料.docx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各有效供应商的评审价中，最终报价最低作为基准价，各有效供应商的价格评分统一按照下列公式计算：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详见附件：一、磋商响应第一次报价表.docx</w:t>
      </w:r>
    </w:p>
    <w:p>
      <w:pPr>
        <w:pStyle w:val="null3"/>
        <w:ind w:firstLine="960"/>
      </w:pPr>
      <w:r>
        <w:rPr>
          <w:rFonts w:ascii="仿宋_GB2312" w:hAnsi="仿宋_GB2312" w:cs="仿宋_GB2312" w:eastAsia="仿宋_GB2312"/>
        </w:rPr>
        <w:t>详见附件：二、分项报价表.docx</w:t>
      </w:r>
    </w:p>
    <w:p>
      <w:pPr>
        <w:pStyle w:val="null3"/>
        <w:ind w:firstLine="960"/>
      </w:pPr>
      <w:r>
        <w:rPr>
          <w:rFonts w:ascii="仿宋_GB2312" w:hAnsi="仿宋_GB2312" w:cs="仿宋_GB2312" w:eastAsia="仿宋_GB2312"/>
        </w:rPr>
        <w:t>详见附件：三、授权委托书.docx</w:t>
      </w:r>
    </w:p>
    <w:p>
      <w:pPr>
        <w:pStyle w:val="null3"/>
        <w:ind w:firstLine="960"/>
      </w:pPr>
      <w:r>
        <w:rPr>
          <w:rFonts w:ascii="仿宋_GB2312" w:hAnsi="仿宋_GB2312" w:cs="仿宋_GB2312" w:eastAsia="仿宋_GB2312"/>
        </w:rPr>
        <w:t>详见附件：四、相关资格证明资料.docx</w:t>
      </w:r>
    </w:p>
    <w:p>
      <w:pPr>
        <w:pStyle w:val="null3"/>
        <w:ind w:firstLine="960"/>
      </w:pPr>
      <w:r>
        <w:rPr>
          <w:rFonts w:ascii="仿宋_GB2312" w:hAnsi="仿宋_GB2312" w:cs="仿宋_GB2312" w:eastAsia="仿宋_GB2312"/>
        </w:rPr>
        <w:t>详见附件：五、技术响应.docx</w:t>
      </w:r>
    </w:p>
    <w:p>
      <w:pPr>
        <w:pStyle w:val="null3"/>
        <w:ind w:firstLine="960"/>
      </w:pPr>
      <w:r>
        <w:rPr>
          <w:rFonts w:ascii="仿宋_GB2312" w:hAnsi="仿宋_GB2312" w:cs="仿宋_GB2312" w:eastAsia="仿宋_GB2312"/>
        </w:rPr>
        <w:t>详见附件：六、承诺书.docx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