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版本号：SHZB202503820250915001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庞光街办埃顿二期项目（GX5-3-73）清表及垃圾清运项目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SHZB2025038</w:t>
      </w:r>
      <w:r>
        <w:br/>
      </w:r>
      <w:r>
        <w:br/>
      </w:r>
      <w:r>
        <w:br/>
      </w:r>
    </w:p>
    <w:p>
      <w:pPr>
        <w:pStyle w:val="null3"/>
        <w:jc w:val="center"/>
        <w:outlineLvl w:val="2"/>
      </w:pPr>
      <w:r>
        <w:rPr>
          <w:rFonts w:ascii="仿宋_GB2312" w:hAnsi="仿宋_GB2312" w:cs="仿宋_GB2312" w:eastAsia="仿宋_GB2312"/>
          <w:sz w:val="28"/>
          <w:b/>
        </w:rPr>
        <w:t>西安市鄠邑区庞光街道办事处</w:t>
      </w:r>
    </w:p>
    <w:p>
      <w:pPr>
        <w:pStyle w:val="null3"/>
        <w:jc w:val="center"/>
        <w:outlineLvl w:val="2"/>
      </w:pPr>
      <w:r>
        <w:rPr>
          <w:rFonts w:ascii="仿宋_GB2312" w:hAnsi="仿宋_GB2312" w:cs="仿宋_GB2312" w:eastAsia="仿宋_GB2312"/>
          <w:sz w:val="28"/>
          <w:b/>
        </w:rPr>
        <w:t>陕西世豪项目管理有限公司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陕西世豪项目管理有限公司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西安市鄠邑区庞光街道办事处</w:t>
      </w:r>
      <w:r>
        <w:rPr>
          <w:rFonts w:ascii="仿宋_GB2312" w:hAnsi="仿宋_GB2312" w:cs="仿宋_GB2312" w:eastAsia="仿宋_GB2312"/>
        </w:rPr>
        <w:t>委托，拟对</w:t>
      </w:r>
      <w:r>
        <w:rPr>
          <w:rFonts w:ascii="仿宋_GB2312" w:hAnsi="仿宋_GB2312" w:cs="仿宋_GB2312" w:eastAsia="仿宋_GB2312"/>
        </w:rPr>
        <w:t>庞光街办埃顿二期项目（GX5-3-73）清表及垃圾清运项目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SHZB2025038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庞光街办埃顿二期项目（GX5-3-73）清表及垃圾清运项目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本工程位于西安市高新区庞光街道秦岭三路以西、秦岭七路以南，秦岭六路以北区域地籍编号为GX5-3-73号地块清表及垃圾清运项目。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采购包1（庞光街办埃顿二期项目（GX5-3-73）清表及垃圾清运项目）：属于专门面向小微企业采购。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1、资质：具备行政主管部门颁发的有效的建筑工程施工总承包三级及以上资质，具备有效的安全生产许可证</w:t>
      </w:r>
    </w:p>
    <w:p>
      <w:pPr>
        <w:pStyle w:val="null3"/>
      </w:pPr>
      <w:r>
        <w:rPr>
          <w:rFonts w:ascii="仿宋_GB2312" w:hAnsi="仿宋_GB2312" w:cs="仿宋_GB2312" w:eastAsia="仿宋_GB2312"/>
        </w:rPr>
        <w:t>2、项目经理：具备有效的建筑工程专业二级及以上注册建造师资格，须在供应商单位注册，并具有有效的安全生产考核合格证书（安B证），且未担任其他在建工程项目的项目经理；</w:t>
      </w:r>
    </w:p>
    <w:p>
      <w:pPr>
        <w:pStyle w:val="null3"/>
      </w:pPr>
      <w:r>
        <w:rPr>
          <w:rFonts w:ascii="仿宋_GB2312" w:hAnsi="仿宋_GB2312" w:cs="仿宋_GB2312" w:eastAsia="仿宋_GB2312"/>
        </w:rPr>
        <w:t>3、信息查询：供应商基本信息及拟派项目经理基本信息应在“陕西省建筑市场监管与诚信信息发布平台”可查询；</w:t>
      </w:r>
    </w:p>
    <w:p>
      <w:pPr>
        <w:pStyle w:val="null3"/>
      </w:pPr>
      <w:r>
        <w:rPr>
          <w:rFonts w:ascii="仿宋_GB2312" w:hAnsi="仿宋_GB2312" w:cs="仿宋_GB2312" w:eastAsia="仿宋_GB2312"/>
        </w:rPr>
        <w:t>4、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5、法定代表人授权委托书：法定代表人授权委托书、被授权人身份证（法定代表人参加磋商时,只需提供法定代表人身份证；被授权人参加磋商时，需提供磋商前三个月内任意一个月供应商为其缴纳的社保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西安市鄠邑区庞光街道办事处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西安市鄠邑区庞光街道府前街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西安市鄠邑区庞光镇人民政府经办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029-84987322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陕西世豪项目管理有限公司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西安市高新区锦业路维萨瀛海1406室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高新瑞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17782573662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采购包1：2,432,622.93元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颁布《招标代理服务收费管理暂行办法》（计价格[2002]1980号）和国家发展和改革委员会办公厅颁发的《关于招标代理服务收费有关问题的通知》（发改办价格[2003]857号）文件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西安市鄠邑区庞光街道办事处</w:t>
      </w:r>
      <w:r>
        <w:rPr>
          <w:rFonts w:ascii="仿宋_GB2312" w:hAnsi="仿宋_GB2312" w:cs="仿宋_GB2312" w:eastAsia="仿宋_GB2312"/>
        </w:rPr>
        <w:t>和</w:t>
      </w:r>
      <w:r>
        <w:rPr>
          <w:rFonts w:ascii="仿宋_GB2312" w:hAnsi="仿宋_GB2312" w:cs="仿宋_GB2312" w:eastAsia="仿宋_GB2312"/>
        </w:rPr>
        <w:t>陕西世豪项目管理有限公司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西安市鄠邑区庞光街道办事处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陕西世豪项目管理有限公司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西安市鄠邑区庞光街道办事处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陕西世豪项目管理有限公司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以采购人和成交供应商双方签订合同为准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陕西世豪项目管理有限公司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陕西世豪项目管理有限公司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陕西世豪项目管理有限公司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联系人：高新瑞</w:t>
      </w:r>
    </w:p>
    <w:p>
      <w:pPr>
        <w:pStyle w:val="null3"/>
      </w:pPr>
      <w:r>
        <w:rPr>
          <w:rFonts w:ascii="仿宋_GB2312" w:hAnsi="仿宋_GB2312" w:cs="仿宋_GB2312" w:eastAsia="仿宋_GB2312"/>
        </w:rPr>
        <w:t>联系电话：17782573662</w:t>
      </w:r>
    </w:p>
    <w:p>
      <w:pPr>
        <w:pStyle w:val="null3"/>
      </w:pPr>
      <w:r>
        <w:rPr>
          <w:rFonts w:ascii="仿宋_GB2312" w:hAnsi="仿宋_GB2312" w:cs="仿宋_GB2312" w:eastAsia="仿宋_GB2312"/>
        </w:rPr>
        <w:t>地址：西安市高新区锦业路维萨瀛海1406室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2,432,622.93</w:t>
      </w:r>
    </w:p>
    <w:p>
      <w:pPr>
        <w:pStyle w:val="null3"/>
      </w:pPr>
      <w:r>
        <w:rPr>
          <w:rFonts w:ascii="仿宋_GB2312" w:hAnsi="仿宋_GB2312" w:cs="仿宋_GB2312" w:eastAsia="仿宋_GB2312"/>
        </w:rPr>
        <w:t>采购包最高限价（元）: 2,432,622.93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清表及垃圾清运项目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2,432,622.93</w:t>
            </w:r>
          </w:p>
        </w:tc>
        <w:tc>
          <w:tcPr>
            <w:tcW w:type="dxa" w:w="1384"/>
          </w:tcPr>
          <w:p>
            <w:pPr>
              <w:pStyle w:val="null3"/>
            </w:pPr>
            <w:r>
              <w:rPr>
                <w:rFonts w:ascii="仿宋_GB2312" w:hAnsi="仿宋_GB2312" w:cs="仿宋_GB2312" w:eastAsia="仿宋_GB2312"/>
              </w:rPr>
              <w:t>项目</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标的名称：清表及垃圾清运项目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b/>
              </w:rPr>
              <w:t>一、项目概况</w:t>
            </w:r>
          </w:p>
          <w:p>
            <w:pPr>
              <w:pStyle w:val="null3"/>
              <w:jc w:val="left"/>
            </w:pPr>
            <w:r>
              <w:rPr>
                <w:rFonts w:ascii="仿宋_GB2312" w:hAnsi="仿宋_GB2312" w:cs="仿宋_GB2312" w:eastAsia="仿宋_GB2312"/>
              </w:rPr>
              <w:t>本工程位于西安市高新区庞光街道秦岭三路以西、秦岭七路以南，秦岭六路以北区域地籍编号为GX5-3-73号地块清表及垃圾清运项目。</w:t>
            </w:r>
          </w:p>
          <w:p>
            <w:pPr>
              <w:pStyle w:val="null3"/>
              <w:jc w:val="left"/>
            </w:pPr>
            <w:r>
              <w:rPr>
                <w:rFonts w:ascii="仿宋_GB2312" w:hAnsi="仿宋_GB2312" w:cs="仿宋_GB2312" w:eastAsia="仿宋_GB2312"/>
                <w:b/>
              </w:rPr>
              <w:t>二、工程内容和施工地点、计划工期</w:t>
            </w:r>
          </w:p>
          <w:p>
            <w:pPr>
              <w:pStyle w:val="null3"/>
              <w:jc w:val="left"/>
            </w:pPr>
            <w:r>
              <w:rPr>
                <w:rFonts w:ascii="仿宋_GB2312" w:hAnsi="仿宋_GB2312" w:cs="仿宋_GB2312" w:eastAsia="仿宋_GB2312"/>
              </w:rPr>
              <w:t>工程内容：清表及垃圾外运</w:t>
            </w:r>
          </w:p>
          <w:p>
            <w:pPr>
              <w:pStyle w:val="null3"/>
              <w:jc w:val="left"/>
            </w:pPr>
            <w:r>
              <w:rPr>
                <w:rFonts w:ascii="仿宋_GB2312" w:hAnsi="仿宋_GB2312" w:cs="仿宋_GB2312" w:eastAsia="仿宋_GB2312"/>
              </w:rPr>
              <w:t>（一）工程地点：西安市高新区庞光街道秦岭三路以西、秦岭七路以南，秦岭六路以北区域。</w:t>
            </w:r>
          </w:p>
          <w:p>
            <w:pPr>
              <w:pStyle w:val="null3"/>
              <w:jc w:val="left"/>
            </w:pPr>
            <w:r>
              <w:rPr>
                <w:rFonts w:ascii="仿宋_GB2312" w:hAnsi="仿宋_GB2312" w:cs="仿宋_GB2312" w:eastAsia="仿宋_GB2312"/>
              </w:rPr>
              <w:t>（二）计划工期：自进场之日起15个日历日内完成。</w:t>
            </w:r>
          </w:p>
          <w:p>
            <w:pPr>
              <w:pStyle w:val="null3"/>
              <w:jc w:val="left"/>
            </w:pPr>
            <w:r>
              <w:rPr>
                <w:rFonts w:ascii="仿宋_GB2312" w:hAnsi="仿宋_GB2312" w:cs="仿宋_GB2312" w:eastAsia="仿宋_GB2312"/>
                <w:b/>
              </w:rPr>
              <w:t>三、执行的法律法规、技术规范</w:t>
            </w:r>
          </w:p>
          <w:p>
            <w:pPr>
              <w:pStyle w:val="null3"/>
              <w:jc w:val="left"/>
            </w:pPr>
            <w:r>
              <w:rPr>
                <w:rFonts w:ascii="仿宋_GB2312" w:hAnsi="仿宋_GB2312" w:cs="仿宋_GB2312" w:eastAsia="仿宋_GB2312"/>
              </w:rPr>
              <w:t>（一）执行的法律法规、技术规范包括但不限于以下规定、规范、标准：</w:t>
            </w:r>
          </w:p>
          <w:p>
            <w:pPr>
              <w:pStyle w:val="null3"/>
              <w:jc w:val="left"/>
            </w:pPr>
            <w:r>
              <w:rPr>
                <w:rFonts w:ascii="仿宋_GB2312" w:hAnsi="仿宋_GB2312" w:cs="仿宋_GB2312" w:eastAsia="仿宋_GB2312"/>
              </w:rPr>
              <w:t>《安全生产法》</w:t>
            </w:r>
          </w:p>
          <w:p>
            <w:pPr>
              <w:pStyle w:val="null3"/>
              <w:jc w:val="left"/>
            </w:pPr>
            <w:r>
              <w:rPr>
                <w:rFonts w:ascii="仿宋_GB2312" w:hAnsi="仿宋_GB2312" w:cs="仿宋_GB2312" w:eastAsia="仿宋_GB2312"/>
              </w:rPr>
              <w:t>《建设工程安全生产管理条例》</w:t>
            </w:r>
          </w:p>
          <w:p>
            <w:pPr>
              <w:pStyle w:val="null3"/>
              <w:jc w:val="left"/>
            </w:pPr>
            <w:r>
              <w:rPr>
                <w:rFonts w:ascii="仿宋_GB2312" w:hAnsi="仿宋_GB2312" w:cs="仿宋_GB2312" w:eastAsia="仿宋_GB2312"/>
              </w:rPr>
              <w:t>《西安市扬尘污染防治条例》</w:t>
            </w:r>
          </w:p>
          <w:p>
            <w:pPr>
              <w:pStyle w:val="null3"/>
              <w:jc w:val="left"/>
            </w:pPr>
            <w:r>
              <w:rPr>
                <w:rFonts w:ascii="仿宋_GB2312" w:hAnsi="仿宋_GB2312" w:cs="仿宋_GB2312" w:eastAsia="仿宋_GB2312"/>
              </w:rPr>
              <w:t>《西安市建筑垃圾管理办法》</w:t>
            </w:r>
          </w:p>
          <w:p>
            <w:pPr>
              <w:pStyle w:val="null3"/>
              <w:jc w:val="left"/>
            </w:pPr>
            <w:r>
              <w:rPr>
                <w:rFonts w:ascii="仿宋_GB2312" w:hAnsi="仿宋_GB2312" w:cs="仿宋_GB2312" w:eastAsia="仿宋_GB2312"/>
              </w:rPr>
              <w:t>《西安高新区治污减霾网格化管理工作实施方案》</w:t>
            </w:r>
          </w:p>
          <w:p>
            <w:pPr>
              <w:pStyle w:val="null3"/>
              <w:jc w:val="left"/>
            </w:pPr>
            <w:r>
              <w:rPr>
                <w:rFonts w:ascii="仿宋_GB2312" w:hAnsi="仿宋_GB2312" w:cs="仿宋_GB2312" w:eastAsia="仿宋_GB2312"/>
              </w:rPr>
              <w:t>（二）质量标准</w:t>
            </w:r>
          </w:p>
          <w:p>
            <w:pPr>
              <w:pStyle w:val="null3"/>
              <w:jc w:val="left"/>
            </w:pPr>
            <w:r>
              <w:rPr>
                <w:rFonts w:ascii="仿宋_GB2312" w:hAnsi="仿宋_GB2312" w:cs="仿宋_GB2312" w:eastAsia="仿宋_GB2312"/>
              </w:rPr>
              <w:t>1、项目范围内的房屋及附属物全部采用湿法作业、机械拆除、拆迁现场无扬尘，严禁人工拆除。垃圾清运全部采用机械清运的施工方法，严禁人工清运。</w:t>
            </w:r>
          </w:p>
          <w:p>
            <w:pPr>
              <w:pStyle w:val="null3"/>
              <w:jc w:val="left"/>
            </w:pPr>
            <w:r>
              <w:rPr>
                <w:rFonts w:ascii="仿宋_GB2312" w:hAnsi="仿宋_GB2312" w:cs="仿宋_GB2312" w:eastAsia="仿宋_GB2312"/>
              </w:rPr>
              <w:t>2、拆除至现有室内地坪（室外硬化路面）以下0.4米完成场地平整。</w:t>
            </w:r>
          </w:p>
          <w:p>
            <w:pPr>
              <w:pStyle w:val="null3"/>
              <w:jc w:val="left"/>
            </w:pPr>
            <w:r>
              <w:rPr>
                <w:rFonts w:ascii="仿宋_GB2312" w:hAnsi="仿宋_GB2312" w:cs="仿宋_GB2312" w:eastAsia="仿宋_GB2312"/>
              </w:rPr>
              <w:t>3、按城市管理部门要求安装冲洗台、限高栏、联网监控和空气检测装置等，确保设备正常使用。</w:t>
            </w:r>
          </w:p>
          <w:p>
            <w:pPr>
              <w:pStyle w:val="null3"/>
              <w:jc w:val="left"/>
            </w:pPr>
            <w:r>
              <w:rPr>
                <w:rFonts w:ascii="仿宋_GB2312" w:hAnsi="仿宋_GB2312" w:cs="仿宋_GB2312" w:eastAsia="仿宋_GB2312"/>
              </w:rPr>
              <w:t>4、拆除地上建筑物、构筑物及附属物，以及破除室内地坪、硬化道路产生的全部建筑垃圾，严格按照城市管理部门指定的运输路线和倾倒场地清运，不得冒尖装栽、不得沿路抛洒。</w:t>
            </w:r>
          </w:p>
          <w:p>
            <w:pPr>
              <w:pStyle w:val="null3"/>
              <w:jc w:val="left"/>
            </w:pPr>
            <w:r>
              <w:rPr>
                <w:rFonts w:ascii="仿宋_GB2312" w:hAnsi="仿宋_GB2312" w:cs="仿宋_GB2312" w:eastAsia="仿宋_GB2312"/>
              </w:rPr>
              <w:t>5、垃圾清运最终达到室内地坪以上全部垃圾清运完毕，现场无任何遗留物（最后以采购人、中标人共同验收合格，签字确认为准）。且施工方要具有垃圾消纳的处置能力。</w:t>
            </w:r>
          </w:p>
          <w:p>
            <w:pPr>
              <w:pStyle w:val="null3"/>
              <w:jc w:val="left"/>
            </w:pPr>
            <w:r>
              <w:rPr>
                <w:rFonts w:ascii="仿宋_GB2312" w:hAnsi="仿宋_GB2312" w:cs="仿宋_GB2312" w:eastAsia="仿宋_GB2312"/>
              </w:rPr>
              <w:t>6.质量要求：合格。</w:t>
            </w:r>
          </w:p>
          <w:p>
            <w:pPr>
              <w:pStyle w:val="null3"/>
              <w:jc w:val="left"/>
            </w:pPr>
            <w:r>
              <w:rPr>
                <w:rFonts w:ascii="仿宋_GB2312" w:hAnsi="仿宋_GB2312" w:cs="仿宋_GB2312" w:eastAsia="仿宋_GB2312"/>
                <w:b/>
              </w:rPr>
              <w:t>四、工程实施期限</w:t>
            </w:r>
          </w:p>
          <w:p>
            <w:pPr>
              <w:pStyle w:val="null3"/>
              <w:jc w:val="left"/>
            </w:pPr>
            <w:r>
              <w:rPr>
                <w:rFonts w:ascii="仿宋_GB2312" w:hAnsi="仿宋_GB2312" w:cs="仿宋_GB2312" w:eastAsia="仿宋_GB2312"/>
              </w:rPr>
              <w:t>1、中标人须在合同签订之日起1天内进驻并制作工程计划进度表，并经采购人书面同意；</w:t>
            </w:r>
          </w:p>
          <w:p>
            <w:pPr>
              <w:pStyle w:val="null3"/>
              <w:jc w:val="left"/>
            </w:pPr>
            <w:r>
              <w:rPr>
                <w:rFonts w:ascii="仿宋_GB2312" w:hAnsi="仿宋_GB2312" w:cs="仿宋_GB2312" w:eastAsia="仿宋_GB2312"/>
              </w:rPr>
              <w:t>2、中标人同意在3天内开始施工；</w:t>
            </w:r>
          </w:p>
          <w:p>
            <w:pPr>
              <w:pStyle w:val="null3"/>
              <w:jc w:val="left"/>
            </w:pPr>
            <w:r>
              <w:rPr>
                <w:rFonts w:ascii="仿宋_GB2312" w:hAnsi="仿宋_GB2312" w:cs="仿宋_GB2312" w:eastAsia="仿宋_GB2312"/>
              </w:rPr>
              <w:t>3、双方约定自施工之日起在15天完成约定的项目。遇阴雨天及不可抗力因素以及其他施工因素影响、工期相应顺延（顺延工期应由采购人、中标人共同签字确认）；</w:t>
            </w:r>
          </w:p>
          <w:p>
            <w:pPr>
              <w:pStyle w:val="null3"/>
              <w:jc w:val="left"/>
            </w:pPr>
            <w:r>
              <w:rPr>
                <w:rFonts w:ascii="仿宋_GB2312" w:hAnsi="仿宋_GB2312" w:cs="仿宋_GB2312" w:eastAsia="仿宋_GB2312"/>
              </w:rPr>
              <w:t>4、由于中标人原因造成工期延迟视同中标人违约，则中标人赔付采购人违约金至清运价的5‰／天。</w:t>
            </w:r>
          </w:p>
          <w:p>
            <w:pPr>
              <w:pStyle w:val="null3"/>
            </w:pPr>
            <w:r>
              <w:rPr>
                <w:rFonts w:ascii="仿宋_GB2312" w:hAnsi="仿宋_GB2312" w:cs="仿宋_GB2312" w:eastAsia="仿宋_GB2312"/>
                <w:b/>
              </w:rPr>
              <w:t>五、合同价款支付方式：</w:t>
            </w:r>
            <w:r>
              <w:rPr>
                <w:rFonts w:ascii="仿宋_GB2312" w:hAnsi="仿宋_GB2312" w:cs="仿宋_GB2312" w:eastAsia="仿宋_GB2312"/>
              </w:rPr>
              <w:t>本项目完工验收合格后付合同价款的70%，剩余30%待财政部门结算评审后以结算评审金额付尾款；</w:t>
            </w:r>
          </w:p>
          <w:p>
            <w:pPr>
              <w:pStyle w:val="null3"/>
              <w:jc w:val="left"/>
            </w:pPr>
            <w:r>
              <w:rPr>
                <w:rFonts w:ascii="仿宋_GB2312" w:hAnsi="仿宋_GB2312" w:cs="仿宋_GB2312" w:eastAsia="仿宋_GB2312"/>
                <w:b/>
              </w:rPr>
              <w:t>六、工程量清单</w:t>
            </w:r>
          </w:p>
          <w:tbl>
            <w:tblPr>
              <w:tblInd w:type="dxa" w:w="135"/>
              <w:tblBorders>
                <w:top w:val="single"/>
                <w:left w:val="single"/>
                <w:bottom w:val="single"/>
                <w:right w:val="single"/>
                <w:insideH w:val="single"/>
                <w:insideV w:val="single"/>
              </w:tblBorders>
            </w:tblPr>
            <w:tblGrid>
              <w:gridCol w:w="188"/>
              <w:gridCol w:w="528"/>
              <w:gridCol w:w="238"/>
              <w:gridCol w:w="358"/>
              <w:gridCol w:w="591"/>
              <w:gridCol w:w="653"/>
            </w:tblGrid>
            <w:tr>
              <w:tc>
                <w:tcPr>
                  <w:tcW w:type="dxa" w:w="188"/>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b/>
                    </w:rPr>
                    <w:t>序号</w:t>
                  </w:r>
                </w:p>
              </w:tc>
              <w:tc>
                <w:tcPr>
                  <w:tcW w:type="dxa" w:w="528"/>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b/>
                    </w:rPr>
                    <w:t>清单项目</w:t>
                  </w:r>
                </w:p>
              </w:tc>
              <w:tc>
                <w:tcPr>
                  <w:tcW w:type="dxa" w:w="238"/>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b/>
                    </w:rPr>
                    <w:t>单位</w:t>
                  </w:r>
                </w:p>
              </w:tc>
              <w:tc>
                <w:tcPr>
                  <w:tcW w:type="dxa" w:w="358"/>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b/>
                    </w:rPr>
                    <w:t>工程量</w:t>
                  </w:r>
                </w:p>
              </w:tc>
              <w:tc>
                <w:tcPr>
                  <w:tcW w:type="dxa" w:w="591"/>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b/>
                    </w:rPr>
                    <w:t>综合单价最高限价（元）</w:t>
                  </w:r>
                </w:p>
              </w:tc>
              <w:tc>
                <w:tcPr>
                  <w:tcW w:type="dxa" w:w="653"/>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b/>
                    </w:rPr>
                    <w:t>合价最高限价（元）</w:t>
                  </w:r>
                </w:p>
              </w:tc>
            </w:tr>
            <w:tr>
              <w:tc>
                <w:tcPr>
                  <w:tcW w:type="dxa" w:w="188"/>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1</w:t>
                  </w:r>
                </w:p>
              </w:tc>
              <w:tc>
                <w:tcPr>
                  <w:tcW w:type="dxa" w:w="5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房屋拆除</w:t>
                  </w:r>
                </w:p>
              </w:tc>
              <w:tc>
                <w:tcPr>
                  <w:tcW w:type="dxa" w:w="23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w:t>
                  </w:r>
                </w:p>
              </w:tc>
              <w:tc>
                <w:tcPr>
                  <w:tcW w:type="dxa" w:w="3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478.87</w:t>
                  </w:r>
                </w:p>
              </w:tc>
              <w:tc>
                <w:tcPr>
                  <w:tcW w:type="dxa" w:w="59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1.25</w:t>
                  </w:r>
                </w:p>
              </w:tc>
              <w:tc>
                <w:tcPr>
                  <w:tcW w:type="dxa" w:w="6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598.59</w:t>
                  </w:r>
                </w:p>
              </w:tc>
            </w:tr>
            <w:tr>
              <w:tc>
                <w:tcPr>
                  <w:tcW w:type="dxa" w:w="188"/>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2</w:t>
                  </w:r>
                </w:p>
              </w:tc>
              <w:tc>
                <w:tcPr>
                  <w:tcW w:type="dxa" w:w="5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围墙拆除</w:t>
                  </w:r>
                </w:p>
                <w:p>
                  <w:pPr>
                    <w:pStyle w:val="null3"/>
                    <w:jc w:val="center"/>
                  </w:pPr>
                  <w:r>
                    <w:rPr>
                      <w:rFonts w:ascii="仿宋_GB2312" w:hAnsi="仿宋_GB2312" w:cs="仿宋_GB2312" w:eastAsia="仿宋_GB2312"/>
                    </w:rPr>
                    <w:t>（墙高3m）</w:t>
                  </w:r>
                </w:p>
              </w:tc>
              <w:tc>
                <w:tcPr>
                  <w:tcW w:type="dxa" w:w="23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w:t>
                  </w:r>
                </w:p>
              </w:tc>
              <w:tc>
                <w:tcPr>
                  <w:tcW w:type="dxa" w:w="3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31.92</w:t>
                  </w:r>
                </w:p>
              </w:tc>
              <w:tc>
                <w:tcPr>
                  <w:tcW w:type="dxa" w:w="59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1.6963</w:t>
                  </w:r>
                </w:p>
              </w:tc>
              <w:tc>
                <w:tcPr>
                  <w:tcW w:type="dxa" w:w="6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54.15</w:t>
                  </w:r>
                </w:p>
              </w:tc>
            </w:tr>
            <w:tr>
              <w:tc>
                <w:tcPr>
                  <w:tcW w:type="dxa" w:w="188"/>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3</w:t>
                  </w:r>
                </w:p>
              </w:tc>
              <w:tc>
                <w:tcPr>
                  <w:tcW w:type="dxa" w:w="5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垃圾外运</w:t>
                  </w:r>
                </w:p>
                <w:p>
                  <w:pPr>
                    <w:pStyle w:val="null3"/>
                    <w:jc w:val="center"/>
                  </w:pPr>
                  <w:r>
                    <w:rPr>
                      <w:rFonts w:ascii="仿宋_GB2312" w:hAnsi="仿宋_GB2312" w:cs="仿宋_GB2312" w:eastAsia="仿宋_GB2312"/>
                    </w:rPr>
                    <w:t>（10km以内）</w:t>
                  </w:r>
                </w:p>
              </w:tc>
              <w:tc>
                <w:tcPr>
                  <w:tcW w:type="dxa" w:w="23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m³</w:t>
                  </w:r>
                </w:p>
              </w:tc>
              <w:tc>
                <w:tcPr>
                  <w:tcW w:type="dxa" w:w="3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20786.07</w:t>
                  </w:r>
                </w:p>
              </w:tc>
              <w:tc>
                <w:tcPr>
                  <w:tcW w:type="dxa" w:w="59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65.00</w:t>
                  </w:r>
                </w:p>
              </w:tc>
              <w:tc>
                <w:tcPr>
                  <w:tcW w:type="dxa" w:w="6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1351094.55</w:t>
                  </w:r>
                </w:p>
              </w:tc>
            </w:tr>
            <w:tr>
              <w:tc>
                <w:tcPr>
                  <w:tcW w:type="dxa" w:w="188"/>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4</w:t>
                  </w:r>
                </w:p>
              </w:tc>
              <w:tc>
                <w:tcPr>
                  <w:tcW w:type="dxa" w:w="5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垃圾外运</w:t>
                  </w:r>
                </w:p>
                <w:p>
                  <w:pPr>
                    <w:pStyle w:val="null3"/>
                    <w:jc w:val="center"/>
                  </w:pPr>
                  <w:r>
                    <w:rPr>
                      <w:rFonts w:ascii="仿宋_GB2312" w:hAnsi="仿宋_GB2312" w:cs="仿宋_GB2312" w:eastAsia="仿宋_GB2312"/>
                    </w:rPr>
                    <w:t>（外超55km）</w:t>
                  </w:r>
                </w:p>
              </w:tc>
              <w:tc>
                <w:tcPr>
                  <w:tcW w:type="dxa" w:w="23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m³</w:t>
                  </w:r>
                </w:p>
              </w:tc>
              <w:tc>
                <w:tcPr>
                  <w:tcW w:type="dxa" w:w="3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20786.07</w:t>
                  </w:r>
                </w:p>
              </w:tc>
              <w:tc>
                <w:tcPr>
                  <w:tcW w:type="dxa" w:w="59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52.00</w:t>
                  </w:r>
                </w:p>
              </w:tc>
              <w:tc>
                <w:tcPr>
                  <w:tcW w:type="dxa" w:w="6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1080875.64</w:t>
                  </w:r>
                </w:p>
              </w:tc>
            </w:tr>
            <w:tr>
              <w:tc>
                <w:tcPr>
                  <w:tcW w:type="dxa" w:w="188"/>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 xml:space="preserve"> </w:t>
                  </w:r>
                </w:p>
              </w:tc>
              <w:tc>
                <w:tcPr>
                  <w:tcW w:type="dxa" w:w="5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合  计：</w:t>
                  </w:r>
                </w:p>
              </w:tc>
              <w:tc>
                <w:tcPr>
                  <w:tcW w:type="dxa" w:w="23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 xml:space="preserve"> </w:t>
                  </w:r>
                </w:p>
              </w:tc>
              <w:tc>
                <w:tcPr>
                  <w:tcW w:type="dxa" w:w="3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 xml:space="preserve"> </w:t>
                  </w:r>
                </w:p>
              </w:tc>
              <w:tc>
                <w:tcPr>
                  <w:tcW w:type="dxa" w:w="59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 xml:space="preserve"> </w:t>
                  </w:r>
                </w:p>
              </w:tc>
              <w:tc>
                <w:tcPr>
                  <w:tcW w:type="dxa" w:w="6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rPr>
                    <w:t>2432622.93</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b/>
              </w:rPr>
              <w:t>注：磋商报价应是供应商为完成本项目要求的全部工程内容最终的价格体现；对文件未列明，而供应商认为必需的费用也需列入磋商报价。供应商所报的价格应考虑到可能发生的所有与完成本项目相关服务及履行合同义务有关的一切费用；供应商的综合单价或合价大于相应价格的最高限价时，将视为无效报价，按无效投标处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3.3.1安全责任:成交供应商应对其工作人员在现场工作期间的一切行为负责，如安全事故责任及因此发生的人身损害赔偿和其它费用由成交供应商承担。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 2、基本资格条件承诺函。</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基本资格条件承诺函</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具备行政主管部门颁发的有效的建筑工程施工总承包三级及以上资质，具备有效的安全生产许可证</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具备有效的建筑工程专业二级及以上注册建造师资格，须在供应商单位注册，并具有有效的安全生产考核合格证书（安B证），且未担任其他在建工程项目的项目经理；</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信息查询</w:t>
            </w:r>
          </w:p>
        </w:tc>
        <w:tc>
          <w:tcPr>
            <w:tcW w:type="dxa" w:w="3322"/>
          </w:tcPr>
          <w:p>
            <w:pPr>
              <w:pStyle w:val="null3"/>
            </w:pPr>
            <w:r>
              <w:rPr>
                <w:rFonts w:ascii="仿宋_GB2312" w:hAnsi="仿宋_GB2312" w:cs="仿宋_GB2312" w:eastAsia="仿宋_GB2312"/>
              </w:rPr>
              <w:t>供应商基本信息及拟派项目经理基本信息应在“陕西省建筑市场监管与诚信信息发布平台”可查询；</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法定代表人授权委托书、被授权人身份证（法定代表人参加磋商时,只需提供法定代表人身份证；被授权人参加磋商时，需提供磋商前三个月内任意一个月供应商为其缴纳的社保证明材料）</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资格证明材料 技术、服务、商务及其他要求应答表 标的清单 陕西省政府采购投标人拒绝政府采购领域商业贿赂承诺书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报价唯一，综合单价或合价均没有低于成本价或高于本项目最高限价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技术、服务、商务及其他要求应答表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供应商认为需要补充的其他内容.docx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 ①施工目标:成本目标、工期目标、质量目标②施工准备：技术准备、材料准备、机械设备③施工平面布置与安排。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供应商针对本项目编制完善的施工方案，内容包含：①施工方法②重难点及解决措施。 二、评审标准 1、完整性：方案必须全面，对评审内容中的各项要求有详细描述； 2、可实施性：切合本项目实际情况，提出步骤清晰、合理的方案； 3、针对性：方案能够紧扣项目实际情况，内容科学合理。 三、赋分标准（满分6分） ①施工方法：每完全满足一个评审标准得1分，满分3分； ③重难点及解决措施：每完全满足一个评审标准得1分，满分3分。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供应商针对本项目编制完善的施工进度计划，内容包含：①施工进度计划横道图②工期保证措施。 二、评审标准 1、完整性：方案必须全面，对评审内容中的各项要求有详细描述； 2、可实施性：切合本项目实际情况，提出步骤清晰、合理的方案； 3、针对性：方案能够紧扣项目实际情况，内容科学合理。 三、赋分标准（满分6分） ①施工进度计划横道图：每完全满足一个评审标准得1分，满分3分； ②工期保证措施：每完全满足一个评审标准得1分，满分3分；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供应商针对本项目编制完善的质量保证措施，内容包含：①施工质量控制措施②施工质量的检验制度。 二、评审标准 1、完整性：方案必须全面，对评审内容中的各项要求有详细描述； 2、可实施性：切合本项目实际情况，提出步骤清晰、合理的方案； 3、针对性：方案能够紧扣项目实际情况，内容科学合理。 三、赋分标准（满分6分） ①施工质量控制措施：每完全满足一个评审标准得1分，满分3分； ③施工质量的检验制度：每完全满足一个评审标准得1分，满分3分。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供应商针对本项目编制完善的资源配置计划，内容包含；①劳动力资源配置计划；②施工机械投入计划。 二、评审标准 1、完整性：方案必须全面，对评审内容中的各项要求有详细描述； 2、可实施性：切合本项目实际情况，提出步骤清晰、合理的方案； 3、针对性：方案能够紧扣项目实际情况，内容科学合理。 三、赋分标准（满分6分） ①劳动力资源配置计划：每完全满足一个评审标准得1分，满分3分； ②施工机械设备投入计划：每完全满足一个评审标准得1分，满分3分；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供应商针对本项目编制完善的安全施工措施，内容包含：①安全生产管理制度②安全施工措施③安全应急预案④安全生产教育。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三、赋分标准（满分12分） ①安全生产管理制度：每完全满足一个评审标准得1分，满分3分； ②安全施工措施：每完全满足一个评审标准得1分，满分3分； ③安全应急预案：每完全满足一个评审标准得1分，满分3分。 ④安全生产教育：每完全满足一个评审标准得1分，满分3分。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供应商针对本项目编制完善的文明施工措施，内容包含：①文明施工管理目标及技术措施②文明施工现场管理③环境保护措施。 二、评审标准 1、完整性：方案必须全面，对评审内容中的各项要求有详细描述； 2、可实施性：切合本项目实际情况，提出步骤清晰、合理的方案； 3、针对性：方案能够紧扣项目实际情况，内容科学合理。 三、赋分标准（满分9分） ①文明施工管理目标及技术措施：每完全满足一个评审标准得1分，满分3分； ②文明施工现场管理：每完全满足一个评审标准得1分，满分3分； ③环境保护措施：每完全满足一个评审标准得1分，满分3分；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供应商针对本项目组建完善的项目管理机构，内容包含：①管理机构的配备计划②管理机构的岗位职责。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①管理机构的配备计划：每完全满足一个评审标准得1分，满分3分； ②管理机构的岗位职责：每完全满足一个评审标准得1分，满分3分；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提供2022年1月1日至今（以签订合同时间为准）类似业绩（清表或拆除类），每提供1份有效业绩得2分，本项最高得10分； 注：以上业绩须附合同复印件加盖公章。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供应商业绩情况</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磋商报价得分=(磋商基准价／磋商报价)×价格权值×100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详见附件：技术、服务、商务及其他要求应答表</w:t>
      </w:r>
    </w:p>
    <w:p>
      <w:pPr>
        <w:pStyle w:val="null3"/>
        <w:ind w:firstLine="960"/>
      </w:pPr>
      <w:r>
        <w:rPr>
          <w:rFonts w:ascii="仿宋_GB2312" w:hAnsi="仿宋_GB2312" w:cs="仿宋_GB2312" w:eastAsia="仿宋_GB2312"/>
        </w:rPr>
        <w:t>详见附件：施工组织设计</w:t>
      </w:r>
    </w:p>
    <w:p>
      <w:pPr>
        <w:pStyle w:val="null3"/>
        <w:ind w:firstLine="960"/>
      </w:pPr>
      <w:r>
        <w:rPr>
          <w:rFonts w:ascii="仿宋_GB2312" w:hAnsi="仿宋_GB2312" w:cs="仿宋_GB2312" w:eastAsia="仿宋_GB2312"/>
        </w:rPr>
        <w:t>详见附件：供应商业绩情况</w:t>
      </w:r>
    </w:p>
    <w:p>
      <w:pPr>
        <w:pStyle w:val="null3"/>
        <w:ind w:firstLine="960"/>
      </w:pPr>
      <w:r>
        <w:rPr>
          <w:rFonts w:ascii="仿宋_GB2312" w:hAnsi="仿宋_GB2312" w:cs="仿宋_GB2312" w:eastAsia="仿宋_GB2312"/>
        </w:rPr>
        <w:t>详见附件：陕西省政府采购投标人拒绝政府采购领域商业贿赂承诺书</w:t>
      </w:r>
    </w:p>
    <w:p>
      <w:pPr>
        <w:pStyle w:val="null3"/>
        <w:ind w:firstLine="960"/>
      </w:pPr>
      <w:r>
        <w:rPr>
          <w:rFonts w:ascii="仿宋_GB2312" w:hAnsi="仿宋_GB2312" w:cs="仿宋_GB2312" w:eastAsia="仿宋_GB2312"/>
        </w:rPr>
        <w:t>详见附件：供应商认为需要补充的其他内容.docx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