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版本号：XCZB2025F17720250915001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草堂街道地块GX5-8-28-2项目用地拆除及清表工程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XCZB2025F177</w:t>
      </w:r>
      <w:r>
        <w:br/>
      </w:r>
      <w:r>
        <w:br/>
      </w:r>
      <w:r>
        <w:br/>
      </w:r>
    </w:p>
    <w:p>
      <w:pPr>
        <w:pStyle w:val="null3"/>
        <w:jc w:val="center"/>
        <w:outlineLvl w:val="2"/>
      </w:pPr>
      <w:r>
        <w:rPr>
          <w:rFonts w:ascii="仿宋_GB2312" w:hAnsi="仿宋_GB2312" w:cs="仿宋_GB2312" w:eastAsia="仿宋_GB2312"/>
          <w:sz w:val="28"/>
          <w:b/>
        </w:rPr>
        <w:t>西安市鄠邑区草堂街道办事处</w:t>
      </w:r>
    </w:p>
    <w:p>
      <w:pPr>
        <w:pStyle w:val="null3"/>
        <w:jc w:val="center"/>
        <w:outlineLvl w:val="2"/>
      </w:pPr>
      <w:r>
        <w:rPr>
          <w:rFonts w:ascii="仿宋_GB2312" w:hAnsi="仿宋_GB2312" w:cs="仿宋_GB2312" w:eastAsia="仿宋_GB2312"/>
          <w:sz w:val="28"/>
          <w:b/>
        </w:rPr>
        <w:t>山西协诚工程招标代理有限公司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山西协诚工程招标代理有限公司</w:t>
      </w:r>
      <w:r>
        <w:rPr>
          <w:rFonts w:ascii="仿宋_GB2312" w:hAnsi="仿宋_GB2312" w:cs="仿宋_GB2312" w:eastAsia="仿宋_GB2312"/>
        </w:rPr>
        <w:t>（以下简称“代理机构”）受</w:t>
      </w:r>
      <w:r>
        <w:rPr>
          <w:rFonts w:ascii="仿宋_GB2312" w:hAnsi="仿宋_GB2312" w:cs="仿宋_GB2312" w:eastAsia="仿宋_GB2312"/>
        </w:rPr>
        <w:t>西安市鄠邑区草堂街道办事处</w:t>
      </w:r>
      <w:r>
        <w:rPr>
          <w:rFonts w:ascii="仿宋_GB2312" w:hAnsi="仿宋_GB2312" w:cs="仿宋_GB2312" w:eastAsia="仿宋_GB2312"/>
        </w:rPr>
        <w:t>委托，拟对</w:t>
      </w:r>
      <w:r>
        <w:rPr>
          <w:rFonts w:ascii="仿宋_GB2312" w:hAnsi="仿宋_GB2312" w:cs="仿宋_GB2312" w:eastAsia="仿宋_GB2312"/>
        </w:rPr>
        <w:t>草堂街道地块GX5-8-28-2项目用地拆除及清表工程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XCZB2025F177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草堂街道地块GX5-8-28-2项目用地拆除及清表工程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草堂街道地块GX5-8-28-2项目用地拆除及清表工程，位于西安高新区草堂街道草堂九路以东、草堂十路以西、秦岭东七路以南、秦岭东六路以北区域。主要工作内容为破除水泥硬化地面，建筑垃圾及清表垃圾外运等工程内容。拆除水泥硬化地面1898.57平方米，建筑垃圾及清表垃圾外运21641.77立方米。同时做好扬尘控制工作，严格执行市建尘治发【2017】3号文，扬尘污染防治应达到文件要求达到的6个百分百，7个到位，保持良好的施工环境，安全文明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采购包1（草堂街道地块GX5-8-28-2项目用地拆除及清表工程）：属于专门面向中小企业采购。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2、企业资质：供应商须具备建设部门颁发的建筑工程施工总承包三级及以上资质，同时具备有效的安全生产许可证。供应商需在项目电子化交易系统中按要求上传相应证明文件并进行电子签章。</w:t>
      </w:r>
    </w:p>
    <w:p>
      <w:pPr>
        <w:pStyle w:val="null3"/>
      </w:pPr>
      <w:r>
        <w:rPr>
          <w:rFonts w:ascii="仿宋_GB2312" w:hAnsi="仿宋_GB2312" w:cs="仿宋_GB2312" w:eastAsia="仿宋_GB2312"/>
        </w:rPr>
        <w:t>3、拟派项目负责人：拟派负责人须具备在本单位注册的建筑工程专业贰级（含贰级）以上注册建造师资质，具备有效的安全生产考核合格证书B证，且无在建工程。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或提供《基本资格条件承诺函》并进行电子签章。</w:t>
      </w:r>
    </w:p>
    <w:p>
      <w:pPr>
        <w:pStyle w:val="null3"/>
      </w:pPr>
      <w:r>
        <w:rPr>
          <w:rFonts w:ascii="仿宋_GB2312" w:hAnsi="仿宋_GB2312" w:cs="仿宋_GB2312" w:eastAsia="仿宋_GB2312"/>
        </w:rPr>
        <w:t>5、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或提供《基本资格条件承诺函》并进行电子签章。</w:t>
      </w:r>
    </w:p>
    <w:p>
      <w:pPr>
        <w:pStyle w:val="null3"/>
      </w:pPr>
      <w:r>
        <w:rPr>
          <w:rFonts w:ascii="仿宋_GB2312" w:hAnsi="仿宋_GB2312" w:cs="仿宋_GB2312" w:eastAsia="仿宋_GB2312"/>
        </w:rPr>
        <w:t>6、财务状况报告：财务状况报告：供应商2024年经审计的财务报告（事业法人可提供部门决算报告）或基本开户银行出具的资信证明或政府采购专业担保机构出具的投标担保函。供应商需在项目电子化交易系统中按要求上传相应证明文件或提供《基本资格条件承诺函》并进行电子签章。</w:t>
      </w:r>
    </w:p>
    <w:p>
      <w:pPr>
        <w:pStyle w:val="null3"/>
      </w:pPr>
      <w:r>
        <w:rPr>
          <w:rFonts w:ascii="仿宋_GB2312" w:hAnsi="仿宋_GB2312" w:cs="仿宋_GB2312" w:eastAsia="仿宋_GB2312"/>
        </w:rPr>
        <w:t>7、履行合同所必需的设备和专业技术能力书面声明函：具有履行合同所必需的设备和专业技术能力书面声明函。供应商需在项目电子化交易系统中按要求上传相应证明文件或提供《基本资格条件承诺函》并进行电子签章。</w:t>
      </w:r>
    </w:p>
    <w:p>
      <w:pPr>
        <w:pStyle w:val="null3"/>
      </w:pPr>
      <w:r>
        <w:rPr>
          <w:rFonts w:ascii="仿宋_GB2312" w:hAnsi="仿宋_GB2312" w:cs="仿宋_GB2312" w:eastAsia="仿宋_GB2312"/>
        </w:rPr>
        <w:t>8、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上传截止时间后当日内采购人或采购代理机构的查询结果为准或提供《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西安市鄠邑区草堂街道办事处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陕西省西安市鄠邑区草堂街道办事处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029-84955307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山西协诚工程招标代理有限公司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山西省太原市杏花岭区新建路148号1幢8层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查青城、叶宏江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029-81212129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采购包1：2,652,120.15元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代理服务费收费标准：1、本项目采购代理服务费以成交价作为收费基数，参照计价格[2002]1 980号、发改价格[2011]534号、发改办价格〔2003〕857号中工程类执行。 2、成交单位在领取成交通知书之前，须向采购代理机构支付代理服务费。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西安市鄠邑区草堂街道办事处</w:t>
      </w:r>
      <w:r>
        <w:rPr>
          <w:rFonts w:ascii="仿宋_GB2312" w:hAnsi="仿宋_GB2312" w:cs="仿宋_GB2312" w:eastAsia="仿宋_GB2312"/>
        </w:rPr>
        <w:t>和</w:t>
      </w:r>
      <w:r>
        <w:rPr>
          <w:rFonts w:ascii="仿宋_GB2312" w:hAnsi="仿宋_GB2312" w:cs="仿宋_GB2312" w:eastAsia="仿宋_GB2312"/>
        </w:rPr>
        <w:t>山西协诚工程招标代理有限公司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西安市鄠邑区草堂街道办事处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山西协诚工程招标代理有限公司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西安市鄠邑区草堂街道办事处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山西协诚工程招标代理有限公司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山西协诚工程招标代理有限公司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山西协诚工程招标代理有限公司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山西协诚工程招标代理有限公司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联系人：查青城、叶宏江</w:t>
      </w:r>
    </w:p>
    <w:p>
      <w:pPr>
        <w:pStyle w:val="null3"/>
      </w:pPr>
      <w:r>
        <w:rPr>
          <w:rFonts w:ascii="仿宋_GB2312" w:hAnsi="仿宋_GB2312" w:cs="仿宋_GB2312" w:eastAsia="仿宋_GB2312"/>
        </w:rPr>
        <w:t>联系电话：029-81212129</w:t>
      </w:r>
    </w:p>
    <w:p>
      <w:pPr>
        <w:pStyle w:val="null3"/>
      </w:pPr>
      <w:r>
        <w:rPr>
          <w:rFonts w:ascii="仿宋_GB2312" w:hAnsi="仿宋_GB2312" w:cs="仿宋_GB2312" w:eastAsia="仿宋_GB2312"/>
        </w:rPr>
        <w:t>地址：陕西省西安市雁塔区科技三路57号融城云谷B座904室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2,652,120.15</w:t>
      </w:r>
    </w:p>
    <w:p>
      <w:pPr>
        <w:pStyle w:val="null3"/>
      </w:pPr>
      <w:r>
        <w:rPr>
          <w:rFonts w:ascii="仿宋_GB2312" w:hAnsi="仿宋_GB2312" w:cs="仿宋_GB2312" w:eastAsia="仿宋_GB2312"/>
        </w:rPr>
        <w:t>采购包最高限价（元）: 2,652,120.15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草堂街道地块GX5-8-28-2项目用地拆除及清表工程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2,652,120.15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标的名称：草堂街道地块GX5-8-28-2项目用地拆除及清表工程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16"/>
                <w:b/>
              </w:rPr>
              <w:t>一、工程概况</w:t>
            </w:r>
          </w:p>
          <w:p>
            <w:pPr>
              <w:pStyle w:val="null3"/>
              <w:ind w:firstLine="560"/>
              <w:jc w:val="both"/>
            </w:pPr>
            <w:r>
              <w:rPr>
                <w:rFonts w:ascii="仿宋_GB2312" w:hAnsi="仿宋_GB2312" w:cs="仿宋_GB2312" w:eastAsia="仿宋_GB2312"/>
                <w:sz w:val="16"/>
              </w:rPr>
              <w:t>本工程为</w:t>
            </w:r>
            <w:r>
              <w:rPr>
                <w:rFonts w:ascii="仿宋_GB2312" w:hAnsi="仿宋_GB2312" w:cs="仿宋_GB2312" w:eastAsia="仿宋_GB2312"/>
                <w:sz w:val="16"/>
              </w:rPr>
              <w:t>草堂街道地块GX5-8-28-2项目用地拆除及清表工程，</w:t>
            </w:r>
            <w:r>
              <w:rPr>
                <w:rFonts w:ascii="仿宋_GB2312" w:hAnsi="仿宋_GB2312" w:cs="仿宋_GB2312" w:eastAsia="仿宋_GB2312"/>
                <w:sz w:val="16"/>
              </w:rPr>
              <w:t>位于</w:t>
            </w:r>
            <w:r>
              <w:rPr>
                <w:rFonts w:ascii="仿宋_GB2312" w:hAnsi="仿宋_GB2312" w:cs="仿宋_GB2312" w:eastAsia="仿宋_GB2312"/>
                <w:sz w:val="16"/>
              </w:rPr>
              <w:t>西安高新区草堂街道办事处草堂九路以东、草堂十路以西、秦岭东七路以南、秦岭东六路以北。</w:t>
            </w:r>
            <w:r>
              <w:rPr>
                <w:rFonts w:ascii="仿宋_GB2312" w:hAnsi="仿宋_GB2312" w:cs="仿宋_GB2312" w:eastAsia="仿宋_GB2312"/>
                <w:sz w:val="16"/>
              </w:rPr>
              <w:t>包含清表、拆除水泥路面及垫层等工作内容</w:t>
            </w:r>
            <w:r>
              <w:rPr>
                <w:rFonts w:ascii="仿宋_GB2312" w:hAnsi="仿宋_GB2312" w:cs="仿宋_GB2312" w:eastAsia="仿宋_GB2312"/>
                <w:sz w:val="16"/>
              </w:rPr>
              <w:t>。</w:t>
            </w:r>
          </w:p>
          <w:p>
            <w:pPr>
              <w:pStyle w:val="null3"/>
              <w:ind w:firstLine="562"/>
              <w:jc w:val="left"/>
            </w:pPr>
            <w:r>
              <w:rPr>
                <w:rFonts w:ascii="仿宋_GB2312" w:hAnsi="仿宋_GB2312" w:cs="仿宋_GB2312" w:eastAsia="仿宋_GB2312"/>
                <w:sz w:val="16"/>
                <w:b/>
              </w:rPr>
              <w:t>二、编制范围</w:t>
            </w:r>
          </w:p>
          <w:p>
            <w:pPr>
              <w:pStyle w:val="null3"/>
              <w:ind w:firstLine="495"/>
              <w:jc w:val="both"/>
            </w:pPr>
            <w:r>
              <w:rPr>
                <w:rFonts w:ascii="仿宋_GB2312" w:hAnsi="仿宋_GB2312" w:cs="仿宋_GB2312" w:eastAsia="仿宋_GB2312"/>
                <w:sz w:val="16"/>
              </w:rPr>
              <w:t>依据建设单位要求及工程测量报告范围内的所有工程内容。</w:t>
            </w:r>
          </w:p>
          <w:p>
            <w:pPr>
              <w:pStyle w:val="null3"/>
              <w:ind w:firstLine="562"/>
              <w:jc w:val="both"/>
            </w:pPr>
            <w:r>
              <w:rPr>
                <w:rFonts w:ascii="仿宋_GB2312" w:hAnsi="仿宋_GB2312" w:cs="仿宋_GB2312" w:eastAsia="仿宋_GB2312"/>
                <w:sz w:val="16"/>
                <w:b/>
              </w:rPr>
              <w:t>三、编制依据</w:t>
            </w:r>
          </w:p>
          <w:p>
            <w:pPr>
              <w:pStyle w:val="null3"/>
              <w:ind w:right="-60" w:firstLine="560"/>
              <w:jc w:val="both"/>
            </w:pPr>
            <w:r>
              <w:rPr>
                <w:rFonts w:ascii="仿宋_GB2312" w:hAnsi="仿宋_GB2312" w:cs="仿宋_GB2312" w:eastAsia="仿宋_GB2312"/>
                <w:sz w:val="16"/>
              </w:rPr>
              <w:t>1、</w:t>
            </w:r>
            <w:r>
              <w:rPr>
                <w:rFonts w:ascii="仿宋_GB2312" w:hAnsi="仿宋_GB2312" w:cs="仿宋_GB2312" w:eastAsia="仿宋_GB2312"/>
                <w:sz w:val="16"/>
              </w:rPr>
              <w:t>《陕西省建设工程工程量清单计价标准》(2025)；</w:t>
            </w:r>
          </w:p>
          <w:p>
            <w:pPr>
              <w:pStyle w:val="null3"/>
              <w:ind w:right="-60" w:firstLine="560"/>
              <w:jc w:val="both"/>
            </w:pPr>
            <w:r>
              <w:rPr>
                <w:rFonts w:ascii="仿宋_GB2312" w:hAnsi="仿宋_GB2312" w:cs="仿宋_GB2312" w:eastAsia="仿宋_GB2312"/>
                <w:sz w:val="16"/>
              </w:rPr>
              <w:t>2、</w:t>
            </w:r>
            <w:r>
              <w:rPr>
                <w:rFonts w:ascii="仿宋_GB2312" w:hAnsi="仿宋_GB2312" w:cs="仿宋_GB2312" w:eastAsia="仿宋_GB2312"/>
                <w:sz w:val="16"/>
              </w:rPr>
              <w:t>《陕西省房屋建筑与装饰工程消耗量定额》（2025）、《陕西省通用安装工程消耗量定额》（2025）、《陕西省建设工程施工机械台班费用定额》；</w:t>
            </w:r>
          </w:p>
          <w:p>
            <w:pPr>
              <w:pStyle w:val="null3"/>
              <w:ind w:right="-60" w:firstLine="560"/>
              <w:jc w:val="both"/>
            </w:pPr>
            <w:r>
              <w:rPr>
                <w:rFonts w:ascii="仿宋_GB2312" w:hAnsi="仿宋_GB2312" w:cs="仿宋_GB2312" w:eastAsia="仿宋_GB2312"/>
                <w:sz w:val="16"/>
              </w:rPr>
              <w:t>3、</w:t>
            </w:r>
            <w:r>
              <w:rPr>
                <w:rFonts w:ascii="仿宋_GB2312" w:hAnsi="仿宋_GB2312" w:cs="仿宋_GB2312" w:eastAsia="仿宋_GB2312"/>
                <w:sz w:val="16"/>
              </w:rPr>
              <w:t>《陕西省房屋建筑与装饰工程基价表》（2025）、《陕西省通用安装工程消耗量基价表》（2025）；</w:t>
            </w:r>
          </w:p>
          <w:p>
            <w:pPr>
              <w:pStyle w:val="null3"/>
              <w:ind w:right="-300" w:firstLine="560"/>
              <w:jc w:val="both"/>
            </w:pPr>
            <w:r>
              <w:rPr>
                <w:rFonts w:ascii="仿宋_GB2312" w:hAnsi="仿宋_GB2312" w:cs="仿宋_GB2312" w:eastAsia="仿宋_GB2312"/>
                <w:sz w:val="16"/>
              </w:rPr>
              <w:t>4、《陕西省建设工程费用规则》（2025）；</w:t>
            </w:r>
          </w:p>
          <w:p>
            <w:pPr>
              <w:pStyle w:val="null3"/>
              <w:ind w:right="-60" w:firstLine="560"/>
              <w:jc w:val="both"/>
            </w:pPr>
            <w:r>
              <w:rPr>
                <w:rFonts w:ascii="仿宋_GB2312" w:hAnsi="仿宋_GB2312" w:cs="仿宋_GB2312" w:eastAsia="仿宋_GB2312"/>
                <w:sz w:val="16"/>
              </w:rPr>
              <w:t>5、陕西汉唐工程测绘有限公司测绘的《草堂街道地块GX5-8-28-2项目用地拆除及清表工程》测量报告；</w:t>
            </w:r>
          </w:p>
          <w:p>
            <w:pPr>
              <w:pStyle w:val="null3"/>
              <w:ind w:right="-60" w:firstLine="560"/>
              <w:jc w:val="both"/>
            </w:pPr>
            <w:r>
              <w:rPr>
                <w:rFonts w:ascii="仿宋_GB2312" w:hAnsi="仿宋_GB2312" w:cs="仿宋_GB2312" w:eastAsia="仿宋_GB2312"/>
                <w:sz w:val="16"/>
              </w:rPr>
              <w:t>6、正常施工组织设计及施工方法；</w:t>
            </w:r>
          </w:p>
          <w:p>
            <w:pPr>
              <w:pStyle w:val="null3"/>
              <w:ind w:firstLine="560"/>
              <w:jc w:val="both"/>
            </w:pPr>
            <w:r>
              <w:rPr>
                <w:rFonts w:ascii="仿宋_GB2312" w:hAnsi="仿宋_GB2312" w:cs="仿宋_GB2312" w:eastAsia="仿宋_GB2312"/>
                <w:sz w:val="16"/>
              </w:rPr>
              <w:t>7、其他相关资料。</w:t>
            </w:r>
          </w:p>
          <w:p>
            <w:pPr>
              <w:pStyle w:val="null3"/>
              <w:ind w:firstLine="562"/>
              <w:jc w:val="both"/>
            </w:pPr>
            <w:r>
              <w:rPr>
                <w:rFonts w:ascii="仿宋_GB2312" w:hAnsi="仿宋_GB2312" w:cs="仿宋_GB2312" w:eastAsia="仿宋_GB2312"/>
                <w:sz w:val="16"/>
                <w:b/>
              </w:rPr>
              <w:t>四、工程造价说明</w:t>
            </w:r>
          </w:p>
          <w:p>
            <w:pPr>
              <w:pStyle w:val="null3"/>
              <w:ind w:firstLine="560"/>
              <w:jc w:val="both"/>
            </w:pPr>
            <w:r>
              <w:rPr>
                <w:rFonts w:ascii="仿宋_GB2312" w:hAnsi="仿宋_GB2312" w:cs="仿宋_GB2312" w:eastAsia="仿宋_GB2312"/>
                <w:sz w:val="16"/>
              </w:rPr>
              <w:t>1、渣土外运运距暂定70公里。</w:t>
            </w:r>
          </w:p>
          <w:p>
            <w:pPr>
              <w:pStyle w:val="null3"/>
              <w:ind w:firstLine="562"/>
              <w:jc w:val="both"/>
            </w:pPr>
            <w:r>
              <w:rPr>
                <w:rFonts w:ascii="仿宋_GB2312" w:hAnsi="仿宋_GB2312" w:cs="仿宋_GB2312" w:eastAsia="仿宋_GB2312"/>
                <w:sz w:val="16"/>
                <w:b/>
              </w:rPr>
              <w:t>五、有关说明</w:t>
            </w:r>
          </w:p>
          <w:p>
            <w:pPr>
              <w:pStyle w:val="null3"/>
              <w:ind w:firstLine="560"/>
              <w:jc w:val="both"/>
            </w:pPr>
            <w:r>
              <w:rPr>
                <w:rFonts w:ascii="仿宋_GB2312" w:hAnsi="仿宋_GB2312" w:cs="仿宋_GB2312" w:eastAsia="仿宋_GB2312"/>
                <w:sz w:val="16"/>
              </w:rPr>
              <w:t>1、本工程上限控制价取费模板为人工调整计入差价；</w:t>
            </w:r>
          </w:p>
          <w:p>
            <w:pPr>
              <w:pStyle w:val="null3"/>
              <w:ind w:firstLine="560"/>
              <w:jc w:val="both"/>
            </w:pPr>
            <w:r>
              <w:rPr>
                <w:rFonts w:ascii="仿宋_GB2312" w:hAnsi="仿宋_GB2312" w:cs="仿宋_GB2312" w:eastAsia="仿宋_GB2312"/>
                <w:sz w:val="16"/>
              </w:rPr>
              <w:t>2、软件使用广联达云计价平台GCCP7.0（版本号：7.5000.23.1）</w:t>
            </w:r>
          </w:p>
          <w:p>
            <w:pPr>
              <w:pStyle w:val="null3"/>
              <w:ind w:firstLine="560"/>
              <w:jc w:val="both"/>
            </w:pPr>
            <w:r>
              <w:rPr>
                <w:rFonts w:ascii="仿宋_GB2312" w:hAnsi="仿宋_GB2312" w:cs="仿宋_GB2312" w:eastAsia="仿宋_GB2312"/>
                <w:sz w:val="16"/>
              </w:rPr>
              <w:t>六、工期</w:t>
            </w:r>
          </w:p>
          <w:p>
            <w:pPr>
              <w:pStyle w:val="null3"/>
              <w:ind w:firstLine="560"/>
              <w:jc w:val="both"/>
            </w:pPr>
            <w:r>
              <w:rPr>
                <w:rFonts w:ascii="仿宋_GB2312" w:hAnsi="仿宋_GB2312" w:cs="仿宋_GB2312" w:eastAsia="仿宋_GB2312"/>
                <w:sz w:val="16"/>
              </w:rPr>
              <w:t>合同签订后30日历天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需要落实的政府采购政策：1、《国务院办公厅关于建立政府强制采购节能产品制度的通知》（国办发〔2007〕51号）2、《财政部司法部关于政府采购支持监狱企业发展有关问题的通知》（财库〔2014〕68号）3、《三部门 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二、采购标的对应的中小企业划分标准所属行业为建筑业。建筑业的划型标准为：营业收入80000万元以下或资产总额80000万元以下的为中小微型企业。其中，营业收入6000万元及以上，且资产总额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下或资产总额300万元以下的为微型企业。三、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第六部分),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四、本项目为综合单价合同，最终固定单价以最终总报价/首次总报价的比例等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供应商须具备建设部门颁发的建筑工程施工总承包三级及以上资质，同时具备有效的安全生产许可证。供应商需在项目电子化交易系统中按要求上传相应证明文件并进行电子签章。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负责人须具备在本单位注册的建筑工程专业贰级（含贰级）以上注册建造师资质，具备有效的安全生产考核合格证书B证，且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或提供《基本资格条件承诺函》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或提供《基本资格条件承诺函》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政府采购专业担保机构出具的投标担保函。供应商需在项目电子化交易系统中按要求上传相应证明文件或提供《基本资格条件承诺函》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具有履行合同所必需的设备和专业技术能力书面声明函。供应商需在项目电子化交易系统中按要求上传相应证明文件或提供《基本资格条件承诺函》并进行电子签章。</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上传截止时间后当日内采购人或采购代理机构的查询结果为准或提供《基本资格条件承诺函》。</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响应文件的签署、加盖印章合格有效；提供的各种证明文件、数据、资料真实有效；响应文件是否存在实质性偏离。</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格式--上传.docx 已标价工程量清单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包括不限于组织安排、清运、拆除、各方协调等，总体思路清晰、合理、可操作性强、可执行程度高，能很好推动项目计5分； 包括不限于组织安排、清运、拆除、各方协调等，方案总体思路较为清晰、合理、可操作性较强、可执行程度较强计4分； 包括不限于组织安排、清运、拆除、各方协调等，方案总体内容涵盖齐全计3分； 包括不限于组织安排、清运、拆除、各方协调等，方案总体内容涵盖不完整计2分； 方案内容粗略不全面计1分；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垃圾清运干净，现场无遗留物，达到现场实施条件</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建筑垃圾要清运至正规建筑垃圾消纳场、回填点或项目工地等，不扬尘、不撒漏、不随意倾倒垃圾</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按有关规定及要求做好防尘降噪措施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清运中不能超载、做好蓬盖，落实好安全文明生产</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垃圾清运过程中，采取围挡及覆盖的措施，满足治污减霾工作要求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进度保证措施，必须按期保质保量完成本项目服务内容</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拟投入机械设备计划安排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劳动力投入计划安排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具备高级工程师及以上职称得2分，其他得1分；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项目部组成科学合理、人员表配置充足，有详细的人员配置清单，针对性强，能够很好的满足项目需求，得3分； 项目部组成科学合理、人员表配置齐全，有详细的人员配置清单，有一定的针对性，满足项目需求，得2分；项目部组成人员缺乏科学合理性，人员配置清单简单，无法满足项目需求，得1分；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提供健全可靠的突发事件应急处理方案，从应急调配能力及意外事故处理方案等方面进行打分，方案内容完整，针对性可行性强，确保出现突发性事件时能高效的解决突发性事件得3分； 方案内容完整，有较强的可行性，确保出现突发性事件时能及时的解决得2分； 方案内容描述简略，无法保证突发性事件得到有效的解决得1分。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评审内容：承诺在配合服务过程中接受采购人监督管理，如出现服务质量不能满足需求或未履行承诺时愿意接受相关经济处罚。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从节约资金、各方配合、可行性等方面综合考虑，建议内容详细具体、针对性强得2分；建议内容详细具体、针对性较强得1分；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2022年1月至今类似项目业绩（含外运或清表），以合同签订时间为准，每提供一份业绩合同得2分，满10分。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详见附件：草堂清表合同.docx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