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AFCA5">
      <w:pPr>
        <w:spacing w:before="125" w:line="228" w:lineRule="auto"/>
        <w:ind w:left="2999"/>
        <w:outlineLvl w:val="0"/>
        <w:rPr>
          <w:rFonts w:hint="eastAsia" w:ascii="仿宋" w:hAnsi="仿宋" w:eastAsia="仿宋" w:cs="仿宋"/>
          <w:sz w:val="35"/>
          <w:szCs w:val="35"/>
          <w:highlight w:val="none"/>
          <w:lang w:val="en-US" w:eastAsia="zh-CN"/>
        </w:rPr>
      </w:pPr>
      <w:r>
        <w:rPr>
          <w:rFonts w:ascii="仿宋" w:hAnsi="仿宋" w:eastAsia="仿宋" w:cs="仿宋"/>
          <w:b/>
          <w:bCs/>
          <w:spacing w:val="-1"/>
          <w:sz w:val="35"/>
          <w:szCs w:val="35"/>
          <w:highlight w:val="none"/>
        </w:rPr>
        <w:t>合同</w:t>
      </w:r>
      <w:r>
        <w:rPr>
          <w:rFonts w:hint="eastAsia" w:ascii="仿宋" w:hAnsi="仿宋" w:eastAsia="仿宋" w:cs="仿宋"/>
          <w:b/>
          <w:bCs/>
          <w:spacing w:val="-1"/>
          <w:sz w:val="35"/>
          <w:szCs w:val="35"/>
          <w:highlight w:val="none"/>
          <w:lang w:val="en-US" w:eastAsia="zh-CN"/>
        </w:rPr>
        <w:t>文本</w:t>
      </w:r>
    </w:p>
    <w:p w14:paraId="3A0C9CC4">
      <w:pPr>
        <w:pStyle w:val="6"/>
        <w:spacing w:line="300" w:lineRule="auto"/>
        <w:rPr>
          <w:highlight w:val="none"/>
        </w:rPr>
      </w:pPr>
    </w:p>
    <w:p w14:paraId="486F805E">
      <w:pPr>
        <w:spacing w:before="120" w:line="360" w:lineRule="auto"/>
        <w:ind w:firstLine="1325" w:firstLineChars="300"/>
        <w:jc w:val="both"/>
        <w:rPr>
          <w:rFonts w:hint="eastAsia" w:ascii="仿宋_GB2312" w:hAnsi="仿宋_GB2312" w:eastAsia="仿宋_GB2312" w:cs="仿宋_GB2312"/>
          <w:b/>
          <w:bCs/>
          <w:sz w:val="44"/>
          <w:szCs w:val="44"/>
          <w:highlight w:val="none"/>
        </w:rPr>
      </w:pPr>
    </w:p>
    <w:p w14:paraId="030A497B">
      <w:pPr>
        <w:spacing w:before="120" w:line="360" w:lineRule="auto"/>
        <w:ind w:firstLine="1325" w:firstLineChars="300"/>
        <w:jc w:val="both"/>
        <w:rPr>
          <w:rFonts w:ascii="仿宋_GB2312" w:hAnsi="仿宋_GB2312" w:eastAsia="仿宋_GB2312" w:cs="仿宋_GB2312"/>
          <w:b/>
          <w:bCs/>
          <w:sz w:val="44"/>
          <w:szCs w:val="44"/>
          <w:highlight w:val="none"/>
        </w:rPr>
      </w:pPr>
      <w:r>
        <w:rPr>
          <w:rFonts w:hint="eastAsia" w:ascii="仿宋_GB2312" w:hAnsi="仿宋_GB2312" w:eastAsia="仿宋_GB2312" w:cs="仿宋_GB2312"/>
          <w:b/>
          <w:bCs/>
          <w:sz w:val="44"/>
          <w:szCs w:val="44"/>
          <w:highlight w:val="none"/>
        </w:rPr>
        <w:t>政 府 采 购 合 同</w:t>
      </w:r>
    </w:p>
    <w:p w14:paraId="557E68E4">
      <w:pPr>
        <w:spacing w:before="120" w:line="360" w:lineRule="auto"/>
        <w:jc w:val="center"/>
        <w:rPr>
          <w:rFonts w:ascii="仿宋_GB2312" w:hAnsi="仿宋_GB2312" w:eastAsia="仿宋_GB2312" w:cs="仿宋_GB2312"/>
          <w:sz w:val="28"/>
          <w:szCs w:val="28"/>
          <w:highlight w:val="none"/>
        </w:rPr>
      </w:pPr>
    </w:p>
    <w:p w14:paraId="72C3B978">
      <w:pPr>
        <w:spacing w:before="120" w:line="360" w:lineRule="auto"/>
        <w:ind w:firstLine="3052" w:firstLineChars="109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p>
    <w:p w14:paraId="2B832A24">
      <w:pPr>
        <w:pStyle w:val="4"/>
        <w:spacing w:before="120" w:line="360" w:lineRule="auto"/>
        <w:ind w:firstLine="0"/>
        <w:rPr>
          <w:rFonts w:ascii="仿宋_GB2312" w:hAnsi="仿宋_GB2312" w:eastAsia="仿宋_GB2312" w:cs="仿宋_GB2312"/>
          <w:sz w:val="28"/>
          <w:szCs w:val="28"/>
          <w:highlight w:val="none"/>
        </w:rPr>
      </w:pPr>
    </w:p>
    <w:p w14:paraId="32ACC59B">
      <w:pPr>
        <w:spacing w:before="120" w:line="360" w:lineRule="auto"/>
        <w:rPr>
          <w:rFonts w:ascii="仿宋_GB2312" w:hAnsi="仿宋_GB2312" w:eastAsia="仿宋_GB2312" w:cs="仿宋_GB2312"/>
          <w:b/>
          <w:bCs/>
          <w:sz w:val="28"/>
          <w:szCs w:val="28"/>
          <w:highlight w:val="none"/>
        </w:rPr>
      </w:pPr>
    </w:p>
    <w:p w14:paraId="00D15D57">
      <w:pPr>
        <w:spacing w:before="120" w:line="480" w:lineRule="auto"/>
        <w:ind w:left="960"/>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采购项目名称：</w:t>
      </w:r>
      <w:r>
        <w:rPr>
          <w:rFonts w:hint="eastAsia" w:ascii="仿宋_GB2312" w:hAnsi="仿宋_GB2312" w:eastAsia="仿宋_GB2312" w:cs="仿宋_GB2312"/>
          <w:b/>
          <w:bCs/>
          <w:sz w:val="28"/>
          <w:szCs w:val="28"/>
          <w:highlight w:val="none"/>
          <w:u w:val="single"/>
        </w:rPr>
        <w:t xml:space="preserve"> </w:t>
      </w:r>
      <w:r>
        <w:rPr>
          <w:rFonts w:hint="eastAsia" w:ascii="仿宋_GB2312" w:hAnsi="仿宋_GB2312" w:eastAsia="仿宋_GB2312" w:cs="仿宋_GB2312"/>
          <w:sz w:val="28"/>
          <w:szCs w:val="28"/>
          <w:highlight w:val="none"/>
          <w:u w:val="single"/>
        </w:rPr>
        <w:t xml:space="preserve"> 202</w:t>
      </w:r>
      <w:r>
        <w:rPr>
          <w:rFonts w:hint="eastAsia" w:ascii="仿宋_GB2312" w:hAnsi="仿宋_GB2312" w:eastAsia="仿宋_GB2312" w:cs="仿宋_GB2312"/>
          <w:sz w:val="28"/>
          <w:szCs w:val="28"/>
          <w:highlight w:val="none"/>
          <w:u w:val="single"/>
          <w:lang w:val="en-US" w:eastAsia="zh-CN"/>
        </w:rPr>
        <w:t>5</w:t>
      </w:r>
      <w:r>
        <w:rPr>
          <w:rFonts w:hint="eastAsia" w:ascii="仿宋_GB2312" w:hAnsi="仿宋_GB2312" w:eastAsia="仿宋_GB2312" w:cs="仿宋_GB2312"/>
          <w:sz w:val="28"/>
          <w:szCs w:val="28"/>
          <w:highlight w:val="none"/>
          <w:u w:val="single"/>
        </w:rPr>
        <w:t xml:space="preserve">年生态环境监测项目  </w:t>
      </w:r>
      <w:r>
        <w:rPr>
          <w:rFonts w:hint="eastAsia" w:ascii="仿宋_GB2312" w:hAnsi="仿宋_GB2312" w:eastAsia="仿宋_GB2312" w:cs="仿宋_GB2312"/>
          <w:b/>
          <w:bCs/>
          <w:sz w:val="28"/>
          <w:szCs w:val="28"/>
          <w:highlight w:val="none"/>
          <w:u w:val="single"/>
        </w:rPr>
        <w:t xml:space="preserve"> </w:t>
      </w:r>
    </w:p>
    <w:p w14:paraId="3CB508CA">
      <w:pPr>
        <w:spacing w:before="120" w:line="480" w:lineRule="auto"/>
        <w:ind w:left="960"/>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采购内容：</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u w:val="single"/>
        </w:rPr>
        <w:t xml:space="preserve">      </w:t>
      </w:r>
    </w:p>
    <w:p w14:paraId="133F9CBC">
      <w:pPr>
        <w:spacing w:before="120" w:line="480" w:lineRule="auto"/>
        <w:ind w:left="960"/>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采购人：</w:t>
      </w:r>
      <w:r>
        <w:rPr>
          <w:rFonts w:hint="eastAsia" w:ascii="仿宋_GB2312" w:hAnsi="仿宋_GB2312" w:eastAsia="仿宋_GB2312" w:cs="仿宋_GB2312"/>
          <w:b/>
          <w:bCs/>
          <w:sz w:val="28"/>
          <w:szCs w:val="28"/>
          <w:highlight w:val="none"/>
          <w:u w:val="single"/>
        </w:rPr>
        <w:t xml:space="preserve">  </w:t>
      </w:r>
      <w:r>
        <w:rPr>
          <w:rFonts w:hint="eastAsia" w:ascii="仿宋_GB2312" w:hAnsi="仿宋_GB2312" w:eastAsia="仿宋_GB2312" w:cs="仿宋_GB2312"/>
          <w:sz w:val="28"/>
          <w:szCs w:val="28"/>
          <w:highlight w:val="none"/>
          <w:u w:val="single"/>
        </w:rPr>
        <w:t xml:space="preserve">西安高新技术产业开发区生态环境局 </w:t>
      </w:r>
    </w:p>
    <w:p w14:paraId="30425F93">
      <w:pPr>
        <w:spacing w:before="120" w:line="480" w:lineRule="auto"/>
        <w:ind w:left="960"/>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8"/>
          <w:szCs w:val="28"/>
          <w:highlight w:val="none"/>
        </w:rPr>
        <w:t>成交供应商：</w:t>
      </w:r>
      <w:r>
        <w:rPr>
          <w:rFonts w:hint="eastAsia" w:ascii="仿宋_GB2312" w:hAnsi="仿宋_GB2312" w:eastAsia="仿宋_GB2312" w:cs="仿宋_GB2312"/>
          <w:b/>
          <w:bCs/>
          <w:sz w:val="28"/>
          <w:szCs w:val="28"/>
          <w:highlight w:val="none"/>
          <w:u w:val="single"/>
        </w:rPr>
        <w:t xml:space="preserve"> </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u w:val="single"/>
          <w:lang w:val="en-US" w:eastAsia="zh-CN"/>
        </w:rPr>
        <w:t xml:space="preserve">  </w:t>
      </w:r>
    </w:p>
    <w:p w14:paraId="2B12E94F">
      <w:pPr>
        <w:spacing w:line="480" w:lineRule="auto"/>
        <w:ind w:firstLine="981" w:firstLineChars="349"/>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8"/>
          <w:szCs w:val="28"/>
          <w:highlight w:val="none"/>
        </w:rPr>
        <w:t>签署日期：</w:t>
      </w:r>
      <w:r>
        <w:rPr>
          <w:rFonts w:hint="eastAsia" w:ascii="仿宋_GB2312" w:hAnsi="仿宋_GB2312" w:eastAsia="仿宋_GB2312" w:cs="仿宋_GB2312"/>
          <w:b/>
          <w:bCs/>
          <w:sz w:val="24"/>
          <w:szCs w:val="24"/>
          <w:highlight w:val="none"/>
          <w:u w:val="single"/>
        </w:rPr>
        <w:t>　　　　</w:t>
      </w:r>
      <w:r>
        <w:rPr>
          <w:rFonts w:hint="eastAsia" w:ascii="仿宋_GB2312" w:hAnsi="仿宋_GB2312" w:eastAsia="仿宋_GB2312" w:cs="仿宋_GB2312"/>
          <w:b/>
          <w:bCs/>
          <w:sz w:val="24"/>
          <w:szCs w:val="24"/>
          <w:highlight w:val="none"/>
          <w:u w:val="single"/>
          <w:lang w:val="en-US" w:eastAsia="zh-CN"/>
        </w:rPr>
        <w:t xml:space="preserve"> </w:t>
      </w:r>
      <w:r>
        <w:rPr>
          <w:rFonts w:hint="eastAsia" w:ascii="仿宋_GB2312" w:hAnsi="仿宋_GB2312" w:eastAsia="仿宋_GB2312" w:cs="仿宋_GB2312"/>
          <w:b/>
          <w:bCs/>
          <w:sz w:val="24"/>
          <w:szCs w:val="24"/>
          <w:highlight w:val="none"/>
          <w:u w:val="single"/>
        </w:rPr>
        <w:t>　</w:t>
      </w:r>
      <w:r>
        <w:rPr>
          <w:rFonts w:hint="eastAsia" w:ascii="仿宋_GB2312" w:hAnsi="仿宋_GB2312" w:eastAsia="仿宋_GB2312" w:cs="仿宋_GB2312"/>
          <w:b/>
          <w:bCs/>
          <w:sz w:val="24"/>
          <w:szCs w:val="24"/>
          <w:highlight w:val="none"/>
          <w:u w:val="single"/>
          <w:lang w:val="en-US" w:eastAsia="zh-CN"/>
        </w:rPr>
        <w:t xml:space="preserve">                     </w:t>
      </w:r>
      <w:r>
        <w:rPr>
          <w:rFonts w:hint="eastAsia" w:ascii="仿宋_GB2312" w:hAnsi="仿宋_GB2312" w:eastAsia="仿宋_GB2312" w:cs="仿宋_GB2312"/>
          <w:b/>
          <w:bCs/>
          <w:sz w:val="24"/>
          <w:szCs w:val="24"/>
          <w:highlight w:val="none"/>
          <w:u w:val="single"/>
        </w:rPr>
        <w:t xml:space="preserve">  　　</w:t>
      </w:r>
    </w:p>
    <w:p w14:paraId="712EBB2D">
      <w:pPr>
        <w:spacing w:line="360" w:lineRule="auto"/>
        <w:jc w:val="center"/>
        <w:rPr>
          <w:rFonts w:ascii="仿宋_GB2312" w:hAnsi="仿宋_GB2312" w:eastAsia="仿宋_GB2312" w:cs="仿宋_GB2312"/>
          <w:b/>
          <w:bCs/>
          <w:sz w:val="24"/>
          <w:szCs w:val="24"/>
          <w:highlight w:val="none"/>
        </w:rPr>
        <w:sectPr>
          <w:pgSz w:w="11906" w:h="16838"/>
          <w:pgMar w:top="1418" w:right="1423" w:bottom="1418" w:left="1644" w:header="720" w:footer="720" w:gutter="0"/>
          <w:cols w:space="720" w:num="1"/>
          <w:docGrid w:linePitch="288" w:charSpace="-3449"/>
        </w:sectPr>
      </w:pPr>
    </w:p>
    <w:p w14:paraId="0577B8F7">
      <w:pPr>
        <w:tabs>
          <w:tab w:val="left" w:pos="3195"/>
        </w:tabs>
        <w:spacing w:before="156" w:beforeLines="50" w:after="156" w:afterLines="50"/>
        <w:jc w:val="center"/>
        <w:rPr>
          <w:rFonts w:ascii="仿宋_GB2312" w:hAnsi="仿宋_GB2312" w:eastAsia="仿宋_GB2312" w:cs="仿宋_GB2312"/>
          <w:b/>
          <w:sz w:val="24"/>
          <w:szCs w:val="24"/>
          <w:highlight w:val="none"/>
        </w:rPr>
      </w:pPr>
    </w:p>
    <w:p w14:paraId="3DCA032B">
      <w:pPr>
        <w:shd w:val="clear" w:color="auto" w:fill="FFFFFF"/>
        <w:snapToGrid w:val="0"/>
        <w:spacing w:line="480" w:lineRule="auto"/>
        <w:rPr>
          <w:rFonts w:eastAsia="仿宋_GB2312"/>
          <w:highlight w:val="none"/>
        </w:rPr>
      </w:pPr>
      <w:r>
        <w:rPr>
          <w:rFonts w:hint="eastAsia" w:ascii="仿宋_GB2312" w:hAnsi="仿宋_GB2312" w:eastAsia="仿宋_GB2312" w:cs="仿宋_GB2312"/>
          <w:b/>
          <w:bCs/>
          <w:sz w:val="24"/>
          <w:highlight w:val="none"/>
        </w:rPr>
        <w:t>甲方：</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8"/>
          <w:szCs w:val="28"/>
          <w:highlight w:val="none"/>
          <w:u w:val="single"/>
        </w:rPr>
        <w:t>西安高新技术产业开发区生态环境局</w:t>
      </w:r>
      <w:r>
        <w:rPr>
          <w:rFonts w:hint="eastAsia" w:ascii="仿宋_GB2312" w:hAnsi="仿宋_GB2312" w:eastAsia="仿宋_GB2312" w:cs="仿宋_GB2312"/>
          <w:bCs/>
          <w:sz w:val="24"/>
          <w:highlight w:val="none"/>
          <w:u w:val="single"/>
        </w:rPr>
        <w:t xml:space="preserve">  </w:t>
      </w:r>
    </w:p>
    <w:p w14:paraId="49ECD59E">
      <w:pPr>
        <w:shd w:val="clear" w:color="auto" w:fill="FFFFFF"/>
        <w:snapToGrid w:val="0"/>
        <w:spacing w:line="360" w:lineRule="auto"/>
        <w:rPr>
          <w:rFonts w:ascii="仿宋_GB2312" w:hAnsi="仿宋_GB2312" w:eastAsia="仿宋_GB2312" w:cs="仿宋_GB2312"/>
          <w:sz w:val="24"/>
          <w:highlight w:val="none"/>
          <w:u w:val="single"/>
        </w:rPr>
      </w:pPr>
      <w:r>
        <w:rPr>
          <w:rFonts w:hint="eastAsia" w:ascii="仿宋_GB2312" w:hAnsi="仿宋_GB2312" w:eastAsia="仿宋_GB2312" w:cs="仿宋_GB2312"/>
          <w:b/>
          <w:bCs/>
          <w:sz w:val="24"/>
          <w:highlight w:val="none"/>
        </w:rPr>
        <w:t>乙方：</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u w:val="single"/>
          <w:lang w:val="en-US" w:eastAsia="zh-CN"/>
        </w:rPr>
        <w:t xml:space="preserve"> </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u w:val="single"/>
        </w:rPr>
        <w:t xml:space="preserve"> </w:t>
      </w:r>
    </w:p>
    <w:p w14:paraId="160DE79E">
      <w:pPr>
        <w:shd w:val="clear" w:color="auto" w:fill="FFFFFF"/>
        <w:snapToGrid w:val="0"/>
        <w:spacing w:line="384" w:lineRule="auto"/>
        <w:jc w:val="left"/>
        <w:rPr>
          <w:rFonts w:ascii="仿宋_GB2312" w:hAnsi="仿宋_GB2312" w:eastAsia="仿宋_GB2312" w:cs="仿宋_GB2312"/>
          <w:sz w:val="24"/>
          <w:szCs w:val="24"/>
          <w:highlight w:val="none"/>
        </w:rPr>
      </w:pPr>
    </w:p>
    <w:p w14:paraId="247EC3FF">
      <w:pPr>
        <w:shd w:val="clear" w:color="auto" w:fill="FFFFFF"/>
        <w:snapToGrid w:val="0"/>
        <w:spacing w:line="384" w:lineRule="auto"/>
        <w:ind w:firstLine="600" w:firstLineChars="250"/>
        <w:jc w:val="left"/>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u w:val="none"/>
        </w:rPr>
        <w:t>西安高新技术产业开发区生态环境局</w:t>
      </w:r>
      <w:r>
        <w:rPr>
          <w:rFonts w:hint="eastAsia" w:ascii="仿宋_GB2312" w:hAnsi="仿宋_GB2312" w:eastAsia="仿宋_GB2312" w:cs="仿宋_GB2312"/>
          <w:sz w:val="24"/>
          <w:szCs w:val="24"/>
          <w:highlight w:val="none"/>
        </w:rPr>
        <w:t>的</w:t>
      </w:r>
      <w:r>
        <w:rPr>
          <w:rFonts w:hint="eastAsia" w:ascii="仿宋_GB2312" w:hAnsi="仿宋_GB2312" w:eastAsia="仿宋_GB2312" w:cs="仿宋_GB2312"/>
          <w:sz w:val="24"/>
          <w:szCs w:val="24"/>
          <w:highlight w:val="none"/>
          <w:u w:val="single"/>
        </w:rPr>
        <w:t>202</w:t>
      </w:r>
      <w:r>
        <w:rPr>
          <w:rFonts w:hint="eastAsia" w:ascii="仿宋_GB2312" w:hAnsi="仿宋_GB2312" w:eastAsia="仿宋_GB2312" w:cs="仿宋_GB2312"/>
          <w:sz w:val="24"/>
          <w:szCs w:val="24"/>
          <w:highlight w:val="none"/>
          <w:u w:val="single"/>
          <w:lang w:val="en-US" w:eastAsia="zh-CN"/>
        </w:rPr>
        <w:t>5</w:t>
      </w:r>
      <w:r>
        <w:rPr>
          <w:rFonts w:hint="eastAsia" w:ascii="仿宋_GB2312" w:hAnsi="仿宋_GB2312" w:eastAsia="仿宋_GB2312" w:cs="仿宋_GB2312"/>
          <w:sz w:val="24"/>
          <w:szCs w:val="24"/>
          <w:highlight w:val="none"/>
          <w:u w:val="single"/>
        </w:rPr>
        <w:t>年生态环境监测服务项目（标段：</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w:t>
      </w:r>
      <w:r>
        <w:rPr>
          <w:rFonts w:hint="eastAsia" w:ascii="仿宋_GB2312" w:hAnsi="仿宋_GB2312" w:eastAsia="仿宋_GB2312" w:cs="仿宋_GB2312"/>
          <w:sz w:val="24"/>
          <w:szCs w:val="24"/>
          <w:highlight w:val="none"/>
        </w:rPr>
        <w:t>经</w:t>
      </w:r>
      <w:r>
        <w:rPr>
          <w:rFonts w:hint="eastAsia" w:ascii="仿宋_GB2312" w:hAnsi="仿宋_GB2312" w:eastAsia="仿宋_GB2312" w:cs="仿宋_GB2312"/>
          <w:sz w:val="24"/>
          <w:szCs w:val="24"/>
          <w:highlight w:val="none"/>
          <w:lang w:val="en-US" w:eastAsia="zh-CN"/>
        </w:rPr>
        <w:t>竞争性磋商</w:t>
      </w:r>
      <w:r>
        <w:rPr>
          <w:rFonts w:hint="eastAsia" w:ascii="仿宋_GB2312" w:hAnsi="仿宋_GB2312" w:eastAsia="仿宋_GB2312" w:cs="仿宋_GB2312"/>
          <w:sz w:val="24"/>
          <w:szCs w:val="24"/>
          <w:highlight w:val="none"/>
        </w:rPr>
        <w:t>进行</w:t>
      </w:r>
      <w:r>
        <w:rPr>
          <w:rFonts w:hint="eastAsia" w:ascii="仿宋_GB2312" w:hAnsi="仿宋_GB2312" w:eastAsia="仿宋_GB2312" w:cs="仿宋_GB2312"/>
          <w:sz w:val="24"/>
          <w:szCs w:val="24"/>
          <w:highlight w:val="none"/>
          <w:lang w:val="en-US" w:eastAsia="zh-CN"/>
        </w:rPr>
        <w:t>采购</w:t>
      </w:r>
      <w:r>
        <w:rPr>
          <w:rFonts w:hint="eastAsia" w:ascii="仿宋_GB2312" w:hAnsi="仿宋_GB2312" w:eastAsia="仿宋_GB2312" w:cs="仿宋_GB2312"/>
          <w:sz w:val="24"/>
          <w:szCs w:val="24"/>
          <w:highlight w:val="none"/>
        </w:rPr>
        <w:t>。经</w:t>
      </w:r>
      <w:r>
        <w:rPr>
          <w:rFonts w:hint="eastAsia" w:ascii="仿宋_GB2312" w:hAnsi="仿宋_GB2312" w:eastAsia="仿宋_GB2312" w:cs="仿宋_GB2312"/>
          <w:sz w:val="24"/>
          <w:szCs w:val="24"/>
          <w:highlight w:val="none"/>
          <w:lang w:val="en-US" w:eastAsia="zh-CN"/>
        </w:rPr>
        <w:t>磋商小组</w:t>
      </w:r>
      <w:r>
        <w:rPr>
          <w:rFonts w:hint="eastAsia" w:ascii="仿宋_GB2312" w:hAnsi="仿宋_GB2312" w:eastAsia="仿宋_GB2312" w:cs="仿宋_GB2312"/>
          <w:sz w:val="24"/>
          <w:szCs w:val="24"/>
          <w:highlight w:val="none"/>
        </w:rPr>
        <w:t>评定</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rPr>
        <w:t>为成交供应商。采购人与成交供应商协商一致，同意按照下列条款，签订本合同。</w:t>
      </w:r>
    </w:p>
    <w:p w14:paraId="6E20A889">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一、采购内容</w:t>
      </w:r>
    </w:p>
    <w:p w14:paraId="34FEDEFD">
      <w:pPr>
        <w:shd w:val="clear" w:color="auto" w:fill="FFFFFF"/>
        <w:snapToGrid w:val="0"/>
        <w:spacing w:line="384" w:lineRule="auto"/>
        <w:ind w:firstLine="480" w:firstLineChars="200"/>
        <w:rPr>
          <w:rFonts w:hint="eastAsia" w:ascii="仿宋_GB2312" w:hAnsi="仿宋_GB2312" w:eastAsia="仿宋_GB2312" w:cs="仿宋_GB2312"/>
          <w:sz w:val="24"/>
          <w:szCs w:val="22"/>
          <w:highlight w:val="none"/>
          <w:u w:val="single"/>
        </w:rPr>
      </w:pPr>
      <w:r>
        <w:rPr>
          <w:rFonts w:hint="eastAsia" w:ascii="仿宋_GB2312" w:hAnsi="仿宋_GB2312" w:eastAsia="仿宋_GB2312" w:cs="仿宋_GB2312"/>
          <w:sz w:val="24"/>
          <w:highlight w:val="none"/>
        </w:rPr>
        <w:t>本项目包括如下内容：</w:t>
      </w:r>
      <w:r>
        <w:rPr>
          <w:rFonts w:hint="eastAsia" w:ascii="仿宋_GB2312" w:hAnsi="仿宋_GB2312" w:eastAsia="仿宋_GB2312" w:cs="仿宋_GB2312"/>
          <w:sz w:val="24"/>
          <w:szCs w:val="22"/>
          <w:highlight w:val="none"/>
          <w:u w:val="single"/>
        </w:rPr>
        <w:t>202</w:t>
      </w:r>
      <w:r>
        <w:rPr>
          <w:rFonts w:hint="eastAsia" w:ascii="仿宋_GB2312" w:hAnsi="仿宋_GB2312" w:eastAsia="仿宋_GB2312" w:cs="仿宋_GB2312"/>
          <w:sz w:val="24"/>
          <w:szCs w:val="22"/>
          <w:highlight w:val="none"/>
          <w:u w:val="single"/>
          <w:lang w:val="en-US" w:eastAsia="zh-CN"/>
        </w:rPr>
        <w:t>5</w:t>
      </w:r>
      <w:r>
        <w:rPr>
          <w:rFonts w:hint="eastAsia" w:ascii="仿宋_GB2312" w:hAnsi="仿宋_GB2312" w:eastAsia="仿宋_GB2312" w:cs="仿宋_GB2312"/>
          <w:sz w:val="24"/>
          <w:szCs w:val="22"/>
          <w:highlight w:val="none"/>
          <w:u w:val="single"/>
        </w:rPr>
        <w:t>年生态环境监测项目（</w:t>
      </w:r>
      <w:r>
        <w:rPr>
          <w:rFonts w:hint="eastAsia" w:ascii="仿宋_GB2312" w:hAnsi="仿宋_GB2312" w:eastAsia="仿宋_GB2312" w:cs="仿宋_GB2312"/>
          <w:sz w:val="24"/>
          <w:szCs w:val="22"/>
          <w:highlight w:val="none"/>
          <w:u w:val="single"/>
          <w:lang w:val="en-US" w:eastAsia="zh-CN"/>
        </w:rPr>
        <w:t xml:space="preserve">   </w:t>
      </w:r>
      <w:r>
        <w:rPr>
          <w:rFonts w:hint="eastAsia" w:ascii="仿宋_GB2312" w:hAnsi="仿宋_GB2312" w:eastAsia="仿宋_GB2312" w:cs="仿宋_GB2312"/>
          <w:sz w:val="24"/>
          <w:szCs w:val="22"/>
          <w:highlight w:val="none"/>
          <w:u w:val="single"/>
        </w:rPr>
        <w:t>标段）,高新区相关监测工作。</w:t>
      </w:r>
    </w:p>
    <w:p w14:paraId="15FB801A">
      <w:pPr>
        <w:shd w:val="clear" w:color="auto" w:fill="FFFFFF"/>
        <w:snapToGrid w:val="0"/>
        <w:spacing w:line="384"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u w:val="none"/>
          <w:lang w:val="en-US" w:eastAsia="zh-CN"/>
        </w:rPr>
        <w:t>乙方须按照每次甲方下达的监测任务要求和时限完成监测项目采样、分析，并按时限要求提供监测报告。</w:t>
      </w:r>
    </w:p>
    <w:p w14:paraId="000FD71C">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二、项目服务期限及地点</w:t>
      </w:r>
    </w:p>
    <w:p w14:paraId="60C73FF4">
      <w:pPr>
        <w:shd w:val="clear" w:color="auto" w:fill="FFFFFF"/>
        <w:snapToGrid w:val="0"/>
        <w:spacing w:line="384"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本项目服务期限为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szCs w:val="22"/>
          <w:highlight w:val="none"/>
          <w:u w:val="single"/>
          <w:lang w:eastAsia="zh-CN"/>
        </w:rPr>
        <w:t>自合同签订后，至2026年12月31日或项目经费完结之日</w:t>
      </w:r>
      <w:r>
        <w:rPr>
          <w:rFonts w:hint="eastAsia" w:ascii="仿宋_GB2312" w:hAnsi="仿宋_GB2312" w:eastAsia="仿宋_GB2312" w:cs="仿宋_GB2312"/>
          <w:sz w:val="24"/>
          <w:highlight w:val="none"/>
        </w:rPr>
        <w:t>，服务地点为</w:t>
      </w:r>
      <w:r>
        <w:rPr>
          <w:rFonts w:hint="eastAsia" w:ascii="仿宋_GB2312" w:hAnsi="仿宋_GB2312" w:eastAsia="仿宋_GB2312" w:cs="仿宋_GB2312"/>
          <w:sz w:val="24"/>
          <w:highlight w:val="none"/>
          <w:u w:val="single"/>
        </w:rPr>
        <w:t>甲方指定地点</w:t>
      </w:r>
      <w:r>
        <w:rPr>
          <w:rFonts w:hint="eastAsia" w:ascii="仿宋_GB2312" w:hAnsi="仿宋_GB2312" w:eastAsia="仿宋_GB2312" w:cs="仿宋_GB2312"/>
          <w:sz w:val="24"/>
          <w:highlight w:val="none"/>
        </w:rPr>
        <w:t>。</w:t>
      </w:r>
    </w:p>
    <w:p w14:paraId="1AF9C582">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三、合同文件及解释</w:t>
      </w:r>
    </w:p>
    <w:p w14:paraId="334C58C8">
      <w:pPr>
        <w:shd w:val="clear" w:color="auto" w:fill="FFFFFF"/>
        <w:snapToGrid w:val="0"/>
        <w:spacing w:line="384" w:lineRule="auto"/>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 xml:space="preserve">    下列文件构成本合同的组成部分，应当认为是一个整体，彼此相互解释，相互补充。为了便于解释，组成合同的多个文件的优先支配地位的次序如下：</w:t>
      </w:r>
    </w:p>
    <w:p w14:paraId="4C6AD7BF">
      <w:pPr>
        <w:numPr>
          <w:ilvl w:val="0"/>
          <w:numId w:val="1"/>
        </w:num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本合同书</w:t>
      </w:r>
    </w:p>
    <w:p w14:paraId="069F5613">
      <w:pPr>
        <w:numPr>
          <w:ilvl w:val="0"/>
          <w:numId w:val="1"/>
        </w:num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成交通知书</w:t>
      </w:r>
    </w:p>
    <w:p w14:paraId="57EBECF9">
      <w:pPr>
        <w:numPr>
          <w:ilvl w:val="0"/>
          <w:numId w:val="1"/>
        </w:num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合同特殊条款</w:t>
      </w:r>
    </w:p>
    <w:p w14:paraId="3881C46F">
      <w:pPr>
        <w:numPr>
          <w:ilvl w:val="0"/>
          <w:numId w:val="1"/>
        </w:num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合同一般条款</w:t>
      </w:r>
    </w:p>
    <w:p w14:paraId="170C9EBE">
      <w:pPr>
        <w:numPr>
          <w:ilvl w:val="0"/>
          <w:numId w:val="1"/>
        </w:numPr>
        <w:shd w:val="clear" w:color="auto" w:fill="FFFFFF"/>
        <w:snapToGrid w:val="0"/>
        <w:spacing w:line="384" w:lineRule="auto"/>
        <w:ind w:firstLine="480" w:firstLineChars="200"/>
        <w:rPr>
          <w:highlight w:val="none"/>
        </w:rPr>
      </w:pPr>
      <w:r>
        <w:rPr>
          <w:rFonts w:hint="eastAsia" w:ascii="仿宋_GB2312" w:hAnsi="仿宋_GB2312" w:eastAsia="仿宋_GB2312" w:cs="仿宋_GB2312"/>
          <w:kern w:val="28"/>
          <w:sz w:val="24"/>
          <w:highlight w:val="none"/>
        </w:rPr>
        <w:t>竞争性磋商文件</w:t>
      </w:r>
    </w:p>
    <w:p w14:paraId="7B4DDEC2">
      <w:pPr>
        <w:numPr>
          <w:ilvl w:val="0"/>
          <w:numId w:val="1"/>
        </w:numPr>
        <w:shd w:val="clear" w:color="auto" w:fill="FFFFFF"/>
        <w:snapToGrid w:val="0"/>
        <w:spacing w:line="384" w:lineRule="auto"/>
        <w:ind w:firstLine="480" w:firstLineChars="200"/>
        <w:rPr>
          <w:highlight w:val="none"/>
        </w:rPr>
      </w:pPr>
      <w:r>
        <w:rPr>
          <w:rFonts w:hint="eastAsia" w:ascii="仿宋_GB2312" w:hAnsi="仿宋_GB2312" w:eastAsia="仿宋_GB2312" w:cs="仿宋_GB2312"/>
          <w:kern w:val="28"/>
          <w:sz w:val="24"/>
          <w:highlight w:val="none"/>
          <w:lang w:eastAsia="zh-CN"/>
        </w:rPr>
        <w:t>响应文件</w:t>
      </w:r>
      <w:r>
        <w:rPr>
          <w:rFonts w:hint="eastAsia" w:ascii="仿宋_GB2312" w:hAnsi="仿宋_GB2312" w:eastAsia="仿宋_GB2312" w:cs="仿宋_GB2312"/>
          <w:kern w:val="28"/>
          <w:sz w:val="24"/>
          <w:highlight w:val="none"/>
        </w:rPr>
        <w:t>（含澄清文件）</w:t>
      </w:r>
    </w:p>
    <w:p w14:paraId="7B5BCDD4">
      <w:pPr>
        <w:numPr>
          <w:ilvl w:val="0"/>
          <w:numId w:val="1"/>
        </w:num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成交通知书其他内容（含成交通知书补充通知）</w:t>
      </w:r>
    </w:p>
    <w:p w14:paraId="04EB020E">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四、合同价款、结算与支付</w:t>
      </w:r>
    </w:p>
    <w:p w14:paraId="34C3EF61">
      <w:pPr>
        <w:shd w:val="clear" w:color="auto" w:fill="FFFFFF"/>
        <w:snapToGrid w:val="0"/>
        <w:spacing w:line="384" w:lineRule="auto"/>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1、本合同总价款</w:t>
      </w:r>
    </w:p>
    <w:p w14:paraId="69D83C83">
      <w:pPr>
        <w:spacing w:line="384" w:lineRule="auto"/>
        <w:ind w:left="1" w:firstLine="480" w:firstLineChars="200"/>
        <w:rPr>
          <w:rFonts w:ascii="仿宋" w:hAnsi="仿宋" w:eastAsia="仿宋"/>
          <w:color w:val="FF0000"/>
          <w:sz w:val="24"/>
          <w:szCs w:val="24"/>
          <w:highlight w:val="none"/>
        </w:rPr>
      </w:pPr>
      <w:r>
        <w:rPr>
          <w:rFonts w:hint="eastAsia" w:ascii="仿宋" w:hAnsi="仿宋" w:eastAsia="仿宋"/>
          <w:sz w:val="24"/>
          <w:szCs w:val="24"/>
          <w:highlight w:val="none"/>
        </w:rPr>
        <w:t>本合同总价款为</w:t>
      </w:r>
      <w:r>
        <w:rPr>
          <w:rFonts w:hint="eastAsia" w:ascii="仿宋" w:hAnsi="仿宋" w:eastAsia="仿宋"/>
          <w:sz w:val="24"/>
          <w:szCs w:val="24"/>
          <w:highlight w:val="none"/>
          <w:u w:val="single"/>
        </w:rPr>
        <w:t xml:space="preserve"> </w:t>
      </w:r>
      <w:r>
        <w:rPr>
          <w:rFonts w:hint="eastAsia" w:ascii="仿宋" w:hAnsi="仿宋" w:eastAsia="仿宋"/>
          <w:sz w:val="24"/>
          <w:szCs w:val="24"/>
          <w:highlight w:val="none"/>
          <w:u w:val="single"/>
          <w:lang w:val="en-US" w:eastAsia="zh-CN"/>
        </w:rPr>
        <w:t xml:space="preserve">      </w:t>
      </w:r>
      <w:r>
        <w:rPr>
          <w:rFonts w:hint="eastAsia" w:ascii="仿宋" w:hAnsi="仿宋" w:eastAsia="仿宋"/>
          <w:sz w:val="24"/>
          <w:szCs w:val="24"/>
          <w:highlight w:val="none"/>
          <w:u w:val="single"/>
        </w:rPr>
        <w:t>（人民币大写：</w:t>
      </w:r>
      <w:r>
        <w:rPr>
          <w:rFonts w:hint="eastAsia" w:ascii="仿宋" w:hAnsi="仿宋" w:eastAsia="仿宋"/>
          <w:sz w:val="24"/>
          <w:szCs w:val="24"/>
          <w:highlight w:val="none"/>
          <w:u w:val="single"/>
          <w:lang w:val="en-US" w:eastAsia="zh-CN"/>
        </w:rPr>
        <w:t xml:space="preserve">       </w:t>
      </w:r>
      <w:r>
        <w:rPr>
          <w:rFonts w:hint="eastAsia" w:ascii="仿宋" w:hAnsi="仿宋" w:eastAsia="仿宋"/>
          <w:sz w:val="24"/>
          <w:szCs w:val="24"/>
          <w:highlight w:val="none"/>
          <w:u w:val="single"/>
        </w:rPr>
        <w:t>) ，本价格为价税合计价款，已包含税金，乙方不再向甲方主张其他费用。</w:t>
      </w:r>
    </w:p>
    <w:p w14:paraId="3E2C4833">
      <w:pPr>
        <w:shd w:val="clear" w:color="auto" w:fill="FFFFFF"/>
        <w:snapToGrid w:val="0"/>
        <w:spacing w:line="384" w:lineRule="auto"/>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2、费用结算</w:t>
      </w:r>
    </w:p>
    <w:p w14:paraId="67D6BA0D">
      <w:pPr>
        <w:spacing w:line="384" w:lineRule="auto"/>
        <w:ind w:left="1"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项目实际结算费用</w:t>
      </w:r>
      <w:r>
        <w:rPr>
          <w:rFonts w:hint="eastAsia" w:ascii="仿宋" w:hAnsi="仿宋" w:eastAsia="仿宋"/>
          <w:sz w:val="24"/>
          <w:szCs w:val="24"/>
          <w:highlight w:val="none"/>
        </w:rPr>
        <w:t>以实际监测项目单价乘以监测数量乘以实际费率据实结算，</w:t>
      </w:r>
      <w:r>
        <w:rPr>
          <w:rFonts w:hint="eastAsia" w:ascii="仿宋_GB2312" w:hAnsi="仿宋_GB2312" w:eastAsia="仿宋_GB2312" w:cs="仿宋_GB2312"/>
          <w:kern w:val="28"/>
          <w:sz w:val="24"/>
          <w:highlight w:val="none"/>
        </w:rPr>
        <w:t>实际结算费用不超过合</w:t>
      </w:r>
      <w:r>
        <w:rPr>
          <w:rFonts w:hint="eastAsia" w:ascii="仿宋" w:hAnsi="仿宋" w:eastAsia="仿宋"/>
          <w:sz w:val="24"/>
          <w:szCs w:val="24"/>
          <w:highlight w:val="none"/>
        </w:rPr>
        <w:t>同总价款。若结算费用超过总价款时按照合同总价款结算支付。</w:t>
      </w:r>
    </w:p>
    <w:p w14:paraId="3574C715">
      <w:pPr>
        <w:spacing w:line="384"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甲方按季度对乙方提供的服务进行考核。季度考核结果为优，当季结算费用所计算的实际费率按照</w:t>
      </w:r>
      <w:r>
        <w:rPr>
          <w:rFonts w:hint="eastAsia" w:ascii="仿宋" w:hAnsi="仿宋" w:eastAsia="仿宋"/>
          <w:sz w:val="24"/>
          <w:szCs w:val="24"/>
          <w:highlight w:val="none"/>
          <w:lang w:val="en-US" w:eastAsia="zh-CN"/>
        </w:rPr>
        <w:t>(100%-</w:t>
      </w:r>
      <w:r>
        <w:rPr>
          <w:rFonts w:hint="eastAsia" w:ascii="仿宋" w:hAnsi="仿宋" w:eastAsia="仿宋"/>
          <w:sz w:val="24"/>
          <w:szCs w:val="24"/>
          <w:highlight w:val="none"/>
          <w:lang w:eastAsia="zh-CN"/>
        </w:rPr>
        <w:t>中标</w:t>
      </w:r>
      <w:r>
        <w:rPr>
          <w:rFonts w:hint="eastAsia" w:ascii="仿宋" w:hAnsi="仿宋" w:eastAsia="仿宋"/>
          <w:sz w:val="24"/>
          <w:szCs w:val="24"/>
          <w:highlight w:val="none"/>
          <w:lang w:val="en-US" w:eastAsia="zh-CN"/>
        </w:rPr>
        <w:t>下浮</w:t>
      </w:r>
      <w:r>
        <w:rPr>
          <w:rFonts w:hint="eastAsia" w:ascii="仿宋" w:hAnsi="仿宋" w:eastAsia="仿宋"/>
          <w:sz w:val="24"/>
          <w:szCs w:val="24"/>
          <w:highlight w:val="none"/>
          <w:lang w:eastAsia="zh-CN"/>
        </w:rPr>
        <w:t>率</w:t>
      </w:r>
      <w:r>
        <w:rPr>
          <w:rFonts w:hint="eastAsia" w:ascii="仿宋" w:hAnsi="仿宋" w:eastAsia="仿宋"/>
          <w:sz w:val="24"/>
          <w:szCs w:val="24"/>
          <w:highlight w:val="none"/>
          <w:lang w:val="en-US" w:eastAsia="zh-CN"/>
        </w:rPr>
        <w:t>)</w:t>
      </w:r>
      <w:r>
        <w:rPr>
          <w:rFonts w:hint="eastAsia" w:ascii="仿宋" w:hAnsi="仿宋" w:eastAsia="仿宋"/>
          <w:sz w:val="24"/>
          <w:szCs w:val="24"/>
          <w:highlight w:val="none"/>
        </w:rPr>
        <w:t>计算；季度考核结果为良，当季结算费用所计算的实际费率按照（</w:t>
      </w:r>
      <w:r>
        <w:rPr>
          <w:rFonts w:hint="eastAsia" w:ascii="仿宋" w:hAnsi="仿宋" w:eastAsia="仿宋"/>
          <w:sz w:val="24"/>
          <w:szCs w:val="24"/>
          <w:highlight w:val="none"/>
          <w:lang w:val="en-US" w:eastAsia="zh-CN"/>
        </w:rPr>
        <w:t>100%-</w:t>
      </w:r>
      <w:r>
        <w:rPr>
          <w:rFonts w:hint="eastAsia" w:ascii="仿宋" w:hAnsi="仿宋" w:eastAsia="仿宋"/>
          <w:sz w:val="24"/>
          <w:szCs w:val="24"/>
          <w:highlight w:val="none"/>
          <w:lang w:eastAsia="zh-CN"/>
        </w:rPr>
        <w:t>中标</w:t>
      </w:r>
      <w:r>
        <w:rPr>
          <w:rFonts w:hint="eastAsia" w:ascii="仿宋" w:hAnsi="仿宋" w:eastAsia="仿宋"/>
          <w:sz w:val="24"/>
          <w:szCs w:val="24"/>
          <w:highlight w:val="none"/>
          <w:lang w:val="en-US" w:eastAsia="zh-CN"/>
        </w:rPr>
        <w:t>下浮</w:t>
      </w:r>
      <w:r>
        <w:rPr>
          <w:rFonts w:hint="eastAsia" w:ascii="仿宋" w:hAnsi="仿宋" w:eastAsia="仿宋"/>
          <w:sz w:val="24"/>
          <w:szCs w:val="24"/>
          <w:highlight w:val="none"/>
          <w:lang w:eastAsia="zh-CN"/>
        </w:rPr>
        <w:t>率</w:t>
      </w:r>
      <w:r>
        <w:rPr>
          <w:rFonts w:hint="eastAsia" w:ascii="仿宋" w:hAnsi="仿宋" w:eastAsia="仿宋"/>
          <w:sz w:val="24"/>
          <w:szCs w:val="24"/>
          <w:highlight w:val="none"/>
        </w:rPr>
        <w:t>-</w:t>
      </w:r>
      <w:r>
        <w:rPr>
          <w:rFonts w:hint="eastAsia" w:ascii="仿宋" w:hAnsi="仿宋" w:eastAsia="仿宋"/>
          <w:sz w:val="24"/>
          <w:szCs w:val="24"/>
          <w:highlight w:val="none"/>
          <w:lang w:val="en-US" w:eastAsia="zh-CN"/>
        </w:rPr>
        <w:t>2</w:t>
      </w:r>
      <w:r>
        <w:rPr>
          <w:rFonts w:hint="eastAsia" w:ascii="仿宋" w:hAnsi="仿宋" w:eastAsia="仿宋"/>
          <w:sz w:val="24"/>
          <w:szCs w:val="24"/>
          <w:highlight w:val="none"/>
        </w:rPr>
        <w:t>%）计算；季度考核结果为一般，当季结算费用所计算的实际费率按照（</w:t>
      </w:r>
      <w:r>
        <w:rPr>
          <w:rFonts w:hint="eastAsia" w:ascii="仿宋" w:hAnsi="仿宋" w:eastAsia="仿宋"/>
          <w:sz w:val="24"/>
          <w:szCs w:val="24"/>
          <w:highlight w:val="none"/>
          <w:lang w:val="en-US" w:eastAsia="zh-CN"/>
        </w:rPr>
        <w:t>100%-</w:t>
      </w:r>
      <w:r>
        <w:rPr>
          <w:rFonts w:hint="eastAsia" w:ascii="仿宋" w:hAnsi="仿宋" w:eastAsia="仿宋"/>
          <w:sz w:val="24"/>
          <w:szCs w:val="24"/>
          <w:highlight w:val="none"/>
          <w:lang w:eastAsia="zh-CN"/>
        </w:rPr>
        <w:t>中标</w:t>
      </w:r>
      <w:r>
        <w:rPr>
          <w:rFonts w:hint="eastAsia" w:ascii="仿宋" w:hAnsi="仿宋" w:eastAsia="仿宋"/>
          <w:sz w:val="24"/>
          <w:szCs w:val="24"/>
          <w:highlight w:val="none"/>
          <w:lang w:val="en-US" w:eastAsia="zh-CN"/>
        </w:rPr>
        <w:t>下浮</w:t>
      </w:r>
      <w:r>
        <w:rPr>
          <w:rFonts w:hint="eastAsia" w:ascii="仿宋" w:hAnsi="仿宋" w:eastAsia="仿宋"/>
          <w:sz w:val="24"/>
          <w:szCs w:val="24"/>
          <w:highlight w:val="none"/>
          <w:lang w:eastAsia="zh-CN"/>
        </w:rPr>
        <w:t>率</w:t>
      </w:r>
      <w:r>
        <w:rPr>
          <w:rFonts w:hint="eastAsia" w:ascii="仿宋" w:hAnsi="仿宋" w:eastAsia="仿宋"/>
          <w:sz w:val="24"/>
          <w:szCs w:val="24"/>
          <w:highlight w:val="none"/>
        </w:rPr>
        <w:t>-</w:t>
      </w:r>
      <w:r>
        <w:rPr>
          <w:rFonts w:hint="eastAsia" w:ascii="仿宋" w:hAnsi="仿宋" w:eastAsia="仿宋"/>
          <w:sz w:val="24"/>
          <w:szCs w:val="24"/>
          <w:highlight w:val="none"/>
          <w:lang w:val="en-US" w:eastAsia="zh-CN"/>
        </w:rPr>
        <w:t>5</w:t>
      </w:r>
      <w:r>
        <w:rPr>
          <w:rFonts w:hint="eastAsia" w:ascii="仿宋" w:hAnsi="仿宋" w:eastAsia="仿宋"/>
          <w:sz w:val="24"/>
          <w:szCs w:val="24"/>
          <w:highlight w:val="none"/>
        </w:rPr>
        <w:t>%）计算；季度考核结果为差，当季结算费用所计算的实际费率按照（</w:t>
      </w:r>
      <w:r>
        <w:rPr>
          <w:rFonts w:hint="eastAsia" w:ascii="仿宋" w:hAnsi="仿宋" w:eastAsia="仿宋"/>
          <w:sz w:val="24"/>
          <w:szCs w:val="24"/>
          <w:highlight w:val="none"/>
          <w:lang w:val="en-US" w:eastAsia="zh-CN"/>
        </w:rPr>
        <w:t>100%-</w:t>
      </w:r>
      <w:r>
        <w:rPr>
          <w:rFonts w:hint="eastAsia" w:ascii="仿宋" w:hAnsi="仿宋" w:eastAsia="仿宋"/>
          <w:sz w:val="24"/>
          <w:szCs w:val="24"/>
          <w:highlight w:val="none"/>
          <w:lang w:eastAsia="zh-CN"/>
        </w:rPr>
        <w:t>中标</w:t>
      </w:r>
      <w:r>
        <w:rPr>
          <w:rFonts w:hint="eastAsia" w:ascii="仿宋" w:hAnsi="仿宋" w:eastAsia="仿宋"/>
          <w:sz w:val="24"/>
          <w:szCs w:val="24"/>
          <w:highlight w:val="none"/>
          <w:lang w:val="en-US" w:eastAsia="zh-CN"/>
        </w:rPr>
        <w:t>下浮</w:t>
      </w:r>
      <w:r>
        <w:rPr>
          <w:rFonts w:hint="eastAsia" w:ascii="仿宋" w:hAnsi="仿宋" w:eastAsia="仿宋"/>
          <w:sz w:val="24"/>
          <w:szCs w:val="24"/>
          <w:highlight w:val="none"/>
          <w:lang w:eastAsia="zh-CN"/>
        </w:rPr>
        <w:t>率</w:t>
      </w:r>
      <w:r>
        <w:rPr>
          <w:rFonts w:hint="eastAsia" w:ascii="仿宋" w:hAnsi="仿宋" w:eastAsia="仿宋"/>
          <w:sz w:val="24"/>
          <w:szCs w:val="24"/>
          <w:highlight w:val="none"/>
        </w:rPr>
        <w:t>-</w:t>
      </w:r>
      <w:r>
        <w:rPr>
          <w:rFonts w:hint="eastAsia" w:ascii="仿宋" w:hAnsi="仿宋" w:eastAsia="仿宋"/>
          <w:sz w:val="24"/>
          <w:szCs w:val="24"/>
          <w:highlight w:val="none"/>
          <w:lang w:val="en-US" w:eastAsia="zh-CN"/>
        </w:rPr>
        <w:t>10</w:t>
      </w:r>
      <w:r>
        <w:rPr>
          <w:rFonts w:hint="eastAsia" w:ascii="仿宋" w:hAnsi="仿宋" w:eastAsia="仿宋"/>
          <w:sz w:val="24"/>
          <w:szCs w:val="24"/>
          <w:highlight w:val="none"/>
        </w:rPr>
        <w:t>%）计算，同时甲方有权终止合同、对乙方违约行为进行追究。</w:t>
      </w:r>
    </w:p>
    <w:p w14:paraId="2A488E50">
      <w:pPr>
        <w:spacing w:line="384" w:lineRule="auto"/>
        <w:ind w:left="1" w:firstLine="480" w:firstLineChars="200"/>
        <w:rPr>
          <w:rFonts w:ascii="仿宋" w:hAnsi="仿宋" w:eastAsia="仿宋"/>
          <w:sz w:val="24"/>
          <w:szCs w:val="24"/>
          <w:highlight w:val="none"/>
        </w:rPr>
      </w:pPr>
      <w:r>
        <w:rPr>
          <w:rFonts w:hint="eastAsia" w:ascii="仿宋_GB2312" w:hAnsi="仿宋_GB2312" w:eastAsia="仿宋_GB2312" w:cs="仿宋_GB2312"/>
          <w:kern w:val="28"/>
          <w:sz w:val="24"/>
          <w:highlight w:val="none"/>
        </w:rPr>
        <w:t>本项目</w:t>
      </w:r>
      <w:r>
        <w:rPr>
          <w:rFonts w:hint="eastAsia" w:ascii="仿宋_GB2312" w:hAnsi="仿宋_GB2312" w:eastAsia="仿宋_GB2312" w:cs="仿宋_GB2312"/>
          <w:kern w:val="28"/>
          <w:sz w:val="24"/>
          <w:highlight w:val="none"/>
          <w:u w:val="single"/>
        </w:rPr>
        <w:t>中标</w:t>
      </w:r>
      <w:r>
        <w:rPr>
          <w:rFonts w:hint="eastAsia" w:ascii="仿宋_GB2312" w:hAnsi="仿宋_GB2312" w:eastAsia="仿宋_GB2312" w:cs="仿宋_GB2312"/>
          <w:kern w:val="28"/>
          <w:sz w:val="24"/>
          <w:highlight w:val="none"/>
          <w:u w:val="single"/>
          <w:lang w:val="en-US" w:eastAsia="zh-CN"/>
        </w:rPr>
        <w:t>下浮率</w:t>
      </w:r>
      <w:r>
        <w:rPr>
          <w:rFonts w:hint="eastAsia" w:ascii="仿宋_GB2312" w:hAnsi="仿宋_GB2312" w:eastAsia="仿宋_GB2312" w:cs="仿宋_GB2312"/>
          <w:kern w:val="28"/>
          <w:sz w:val="24"/>
          <w:highlight w:val="none"/>
          <w:u w:val="single"/>
        </w:rPr>
        <w:t>为</w:t>
      </w:r>
      <w:r>
        <w:rPr>
          <w:rFonts w:hint="eastAsia" w:ascii="仿宋_GB2312" w:hAnsi="仿宋_GB2312" w:eastAsia="仿宋_GB2312" w:cs="仿宋_GB2312"/>
          <w:kern w:val="28"/>
          <w:sz w:val="24"/>
          <w:highlight w:val="none"/>
          <w:u w:val="single"/>
          <w:lang w:val="en-US" w:eastAsia="zh-CN"/>
        </w:rPr>
        <w:t xml:space="preserve">    </w:t>
      </w:r>
      <w:r>
        <w:rPr>
          <w:rFonts w:hint="eastAsia" w:ascii="仿宋_GB2312" w:hAnsi="仿宋_GB2312" w:eastAsia="仿宋_GB2312" w:cs="仿宋_GB2312"/>
          <w:kern w:val="28"/>
          <w:sz w:val="24"/>
          <w:highlight w:val="none"/>
          <w:u w:val="single"/>
        </w:rPr>
        <w:t>%。</w:t>
      </w:r>
    </w:p>
    <w:p w14:paraId="193ABE9D">
      <w:pPr>
        <w:spacing w:line="384" w:lineRule="auto"/>
        <w:ind w:firstLine="480" w:firstLineChars="200"/>
        <w:rPr>
          <w:rFonts w:hint="eastAsia" w:ascii="仿宋" w:hAnsi="仿宋" w:eastAsia="仿宋"/>
          <w:sz w:val="24"/>
          <w:szCs w:val="24"/>
          <w:highlight w:val="none"/>
        </w:rPr>
      </w:pPr>
      <w:r>
        <w:rPr>
          <w:rFonts w:hint="eastAsia" w:ascii="仿宋" w:hAnsi="仿宋" w:eastAsia="仿宋"/>
          <w:sz w:val="24"/>
          <w:szCs w:val="24"/>
          <w:highlight w:val="none"/>
        </w:rPr>
        <w:t>合同单价是指完成本次服务工作所需的全部费用，包括但不限于监测费用、人员工作、报告编制、国家按现行税率征收的一切税费及其它费用。具体内容见</w:t>
      </w:r>
      <w:r>
        <w:rPr>
          <w:rFonts w:hint="eastAsia" w:ascii="仿宋" w:hAnsi="仿宋" w:eastAsia="仿宋"/>
          <w:sz w:val="24"/>
          <w:szCs w:val="24"/>
          <w:highlight w:val="none"/>
          <w:lang w:eastAsia="zh-CN"/>
        </w:rPr>
        <w:t>磋商文件</w:t>
      </w:r>
      <w:r>
        <w:rPr>
          <w:rFonts w:hint="eastAsia" w:ascii="仿宋" w:hAnsi="仿宋" w:eastAsia="仿宋"/>
          <w:sz w:val="24"/>
          <w:szCs w:val="24"/>
          <w:highlight w:val="none"/>
        </w:rPr>
        <w:t>。</w:t>
      </w:r>
    </w:p>
    <w:p w14:paraId="7C1D702D">
      <w:pPr>
        <w:shd w:val="clear" w:color="auto" w:fill="FFFFFF"/>
        <w:snapToGrid w:val="0"/>
        <w:spacing w:line="384" w:lineRule="auto"/>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3、支付方式</w:t>
      </w:r>
    </w:p>
    <w:p w14:paraId="706DA906">
      <w:pPr>
        <w:spacing w:line="384" w:lineRule="auto"/>
        <w:rPr>
          <w:rFonts w:ascii="仿宋_GB2312" w:hAnsi="仿宋_GB2312" w:eastAsia="仿宋_GB2312" w:cs="仿宋_GB2312"/>
          <w:kern w:val="28"/>
          <w:sz w:val="24"/>
          <w:szCs w:val="22"/>
          <w:highlight w:val="none"/>
        </w:rPr>
      </w:pPr>
      <w:r>
        <w:rPr>
          <w:rFonts w:hint="eastAsia" w:ascii="仿宋_GB2312" w:hAnsi="仿宋_GB2312" w:eastAsia="仿宋_GB2312" w:cs="仿宋_GB2312"/>
          <w:kern w:val="28"/>
          <w:sz w:val="24"/>
          <w:highlight w:val="none"/>
        </w:rPr>
        <w:t xml:space="preserve">   双方签订合同后，由乙方开具等额正规发票且经甲方确认后，甲方向乙方支付合同总价的40%款项。项目合同服务期满后，</w:t>
      </w:r>
      <w:r>
        <w:rPr>
          <w:rStyle w:val="9"/>
          <w:rFonts w:hint="eastAsia" w:ascii="仿宋_GB2312" w:hAnsi="仿宋_GB2312" w:eastAsia="仿宋_GB2312" w:cs="仿宋_GB2312"/>
          <w:kern w:val="28"/>
          <w:sz w:val="24"/>
          <w:highlight w:val="none"/>
          <w:lang w:eastAsia="zh-CN"/>
        </w:rPr>
        <w:t>甲方对项目进行考核及验收，</w:t>
      </w:r>
      <w:r>
        <w:rPr>
          <w:rFonts w:hint="eastAsia" w:ascii="仿宋_GB2312" w:hAnsi="仿宋_GB2312" w:eastAsia="仿宋_GB2312" w:cs="仿宋_GB2312"/>
          <w:kern w:val="28"/>
          <w:sz w:val="24"/>
          <w:highlight w:val="none"/>
          <w:lang w:eastAsia="zh-CN"/>
        </w:rPr>
        <w:t>并</w:t>
      </w:r>
      <w:r>
        <w:rPr>
          <w:rFonts w:hint="eastAsia" w:ascii="仿宋_GB2312" w:hAnsi="仿宋_GB2312" w:eastAsia="仿宋_GB2312" w:cs="仿宋_GB2312"/>
          <w:kern w:val="28"/>
          <w:sz w:val="24"/>
          <w:highlight w:val="none"/>
        </w:rPr>
        <w:t>按本合同第四条第2款</w:t>
      </w:r>
      <w:r>
        <w:rPr>
          <w:rFonts w:hint="eastAsia" w:ascii="仿宋_GB2312" w:hAnsi="仿宋_GB2312" w:eastAsia="仿宋_GB2312" w:cs="仿宋_GB2312"/>
          <w:kern w:val="28"/>
          <w:sz w:val="24"/>
          <w:highlight w:val="none"/>
          <w:lang w:eastAsia="zh-CN"/>
        </w:rPr>
        <w:t>标准计算实际</w:t>
      </w:r>
      <w:r>
        <w:rPr>
          <w:rFonts w:hint="eastAsia" w:ascii="仿宋_GB2312" w:hAnsi="仿宋_GB2312" w:eastAsia="仿宋_GB2312" w:cs="仿宋_GB2312"/>
          <w:kern w:val="28"/>
          <w:sz w:val="24"/>
          <w:highlight w:val="none"/>
        </w:rPr>
        <w:t>费用</w:t>
      </w:r>
      <w:r>
        <w:rPr>
          <w:rFonts w:hint="eastAsia" w:ascii="仿宋_GB2312" w:hAnsi="仿宋_GB2312" w:eastAsia="仿宋_GB2312" w:cs="仿宋_GB2312"/>
          <w:kern w:val="28"/>
          <w:sz w:val="24"/>
          <w:highlight w:val="none"/>
          <w:lang w:eastAsia="zh-CN"/>
        </w:rPr>
        <w:t>，双方确认监测服务内容（</w:t>
      </w:r>
      <w:r>
        <w:rPr>
          <w:rFonts w:hint="eastAsia" w:ascii="仿宋_GB2312" w:hAnsi="仿宋_GB2312" w:eastAsia="仿宋_GB2312" w:cs="仿宋_GB2312"/>
          <w:kern w:val="28"/>
          <w:sz w:val="24"/>
          <w:highlight w:val="none"/>
        </w:rPr>
        <w:t>符合</w:t>
      </w:r>
      <w:r>
        <w:rPr>
          <w:rFonts w:hint="eastAsia" w:ascii="仿宋_GB2312" w:hAnsi="仿宋_GB2312" w:eastAsia="仿宋_GB2312" w:cs="仿宋_GB2312"/>
          <w:kern w:val="28"/>
          <w:sz w:val="24"/>
          <w:highlight w:val="none"/>
          <w:lang w:eastAsia="zh-CN"/>
        </w:rPr>
        <w:t>磋商文件</w:t>
      </w:r>
      <w:r>
        <w:rPr>
          <w:rFonts w:hint="eastAsia" w:ascii="仿宋_GB2312" w:hAnsi="仿宋_GB2312" w:eastAsia="仿宋_GB2312" w:cs="仿宋_GB2312"/>
          <w:kern w:val="28"/>
          <w:sz w:val="24"/>
          <w:highlight w:val="none"/>
        </w:rPr>
        <w:t>、相关规范及考核要求）及支付价款无异议</w:t>
      </w:r>
      <w:r>
        <w:rPr>
          <w:rFonts w:hint="eastAsia" w:ascii="仿宋_GB2312" w:hAnsi="仿宋_GB2312" w:eastAsia="仿宋_GB2312" w:cs="仿宋_GB2312"/>
          <w:kern w:val="28"/>
          <w:sz w:val="24"/>
          <w:highlight w:val="none"/>
          <w:lang w:eastAsia="zh-CN"/>
        </w:rPr>
        <w:t>后</w:t>
      </w:r>
      <w:r>
        <w:rPr>
          <w:rFonts w:hint="eastAsia" w:ascii="仿宋_GB2312" w:hAnsi="仿宋_GB2312" w:eastAsia="仿宋_GB2312" w:cs="仿宋_GB2312"/>
          <w:kern w:val="28"/>
          <w:sz w:val="24"/>
          <w:highlight w:val="none"/>
        </w:rPr>
        <w:t>，由乙方开具等额正规发票，甲方向乙方依据实际工作量支付剩余费用，最高不超过合同总价的60%</w:t>
      </w:r>
      <w:r>
        <w:rPr>
          <w:rFonts w:hint="eastAsia" w:ascii="仿宋_GB2312" w:hAnsi="仿宋_GB2312" w:eastAsia="仿宋_GB2312" w:cs="仿宋_GB2312"/>
          <w:kern w:val="28"/>
          <w:sz w:val="24"/>
          <w:highlight w:val="none"/>
          <w:lang w:eastAsia="zh-CN"/>
        </w:rPr>
        <w:t>。</w:t>
      </w:r>
    </w:p>
    <w:p w14:paraId="6CFD9647">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五、权利与义务</w:t>
      </w:r>
    </w:p>
    <w:p w14:paraId="3492AF8A">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（一）甲方的权利与义务</w:t>
      </w:r>
    </w:p>
    <w:p w14:paraId="3729F95F">
      <w:p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1、甲方或甲方协调其它相关单位，及时、准确向乙方提供为履行本合同所需的资料。</w:t>
      </w:r>
    </w:p>
    <w:p w14:paraId="5FB566B9">
      <w:p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2、甲方有权对乙方提供服务的全过程进行监督，对其进行考核、验收。</w:t>
      </w:r>
    </w:p>
    <w:p w14:paraId="09910452">
      <w:pPr>
        <w:pStyle w:val="2"/>
        <w:spacing w:line="384" w:lineRule="auto"/>
        <w:ind w:firstLine="480" w:firstLineChars="200"/>
        <w:jc w:val="both"/>
        <w:rPr>
          <w:rFonts w:hint="eastAsia" w:ascii="仿宋_GB2312" w:hAnsi="仿宋_GB2312" w:eastAsia="仿宋_GB2312" w:cs="仿宋_GB2312"/>
          <w:b w:val="0"/>
          <w:spacing w:val="0"/>
          <w:w w:val="100"/>
          <w:kern w:val="28"/>
          <w:sz w:val="24"/>
          <w:highlight w:val="none"/>
        </w:rPr>
      </w:pPr>
      <w:r>
        <w:rPr>
          <w:rFonts w:hint="eastAsia" w:ascii="仿宋_GB2312" w:hAnsi="仿宋_GB2312" w:eastAsia="仿宋_GB2312" w:cs="仿宋_GB2312"/>
          <w:b w:val="0"/>
          <w:spacing w:val="0"/>
          <w:w w:val="100"/>
          <w:kern w:val="28"/>
          <w:sz w:val="24"/>
          <w:highlight w:val="none"/>
        </w:rPr>
        <w:t>3、甲方有权要求乙方提供的服务所涉及的第三方权利进行免责。</w:t>
      </w:r>
    </w:p>
    <w:p w14:paraId="1A728E10">
      <w:p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4、甲方有义务保证按合同所规定的内容及时间支付乙方相关费用。</w:t>
      </w:r>
    </w:p>
    <w:p w14:paraId="11B53F1F">
      <w:p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5、甲方项目联系人为郭飞刚,电话 029-88893502。</w:t>
      </w:r>
    </w:p>
    <w:p w14:paraId="7004FE25">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（二）乙方的权利与义务</w:t>
      </w:r>
    </w:p>
    <w:p w14:paraId="16161CBE">
      <w:pPr>
        <w:spacing w:line="384"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1、乙方应</w:t>
      </w:r>
      <w:r>
        <w:rPr>
          <w:rFonts w:hint="eastAsia" w:ascii="仿宋_GB2312" w:hAnsi="仿宋_GB2312" w:eastAsia="仿宋_GB2312" w:cs="仿宋_GB2312"/>
          <w:sz w:val="24"/>
          <w:highlight w:val="none"/>
        </w:rPr>
        <w:t>按本合同的规定完成服务，</w:t>
      </w:r>
      <w:r>
        <w:rPr>
          <w:rFonts w:hint="eastAsia" w:ascii="仿宋_GB2312" w:hAnsi="仿宋_GB2312" w:eastAsia="仿宋_GB2312" w:cs="仿宋_GB2312"/>
          <w:sz w:val="24"/>
          <w:highlight w:val="none"/>
          <w:lang w:val="en-US" w:eastAsia="zh-CN"/>
        </w:rPr>
        <w:t>提供监测报告及工作相关资料</w:t>
      </w:r>
      <w:r>
        <w:rPr>
          <w:rFonts w:hint="eastAsia" w:ascii="仿宋_GB2312" w:hAnsi="仿宋_GB2312" w:eastAsia="仿宋_GB2312" w:cs="仿宋_GB2312"/>
          <w:sz w:val="24"/>
          <w:highlight w:val="none"/>
        </w:rPr>
        <w:t>。</w:t>
      </w:r>
    </w:p>
    <w:p w14:paraId="0BC31701">
      <w:pPr>
        <w:spacing w:line="384"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2、乙方有权要求甲方按照具体情况提供必要的服务资料、服务条件</w:t>
      </w:r>
      <w:r>
        <w:rPr>
          <w:rFonts w:hint="eastAsia" w:ascii="仿宋_GB2312" w:hAnsi="仿宋_GB2312" w:eastAsia="仿宋_GB2312" w:cs="仿宋_GB2312"/>
          <w:sz w:val="24"/>
          <w:highlight w:val="none"/>
        </w:rPr>
        <w:t>。</w:t>
      </w:r>
    </w:p>
    <w:p w14:paraId="2B86126A">
      <w:pPr>
        <w:pStyle w:val="5"/>
        <w:spacing w:line="384" w:lineRule="auto"/>
        <w:ind w:firstLine="480" w:firstLineChars="200"/>
        <w:rPr>
          <w:rFonts w:hint="eastAsia" w:ascii="仿宋_GB2312" w:hAnsi="仿宋_GB2312" w:eastAsia="仿宋_GB2312" w:cs="仿宋_GB2312"/>
          <w:kern w:val="28"/>
          <w:sz w:val="24"/>
          <w:szCs w:val="20"/>
          <w:highlight w:val="none"/>
        </w:rPr>
      </w:pPr>
      <w:r>
        <w:rPr>
          <w:rFonts w:hint="eastAsia" w:ascii="仿宋_GB2312" w:hAnsi="仿宋_GB2312" w:eastAsia="仿宋_GB2312" w:cs="仿宋_GB2312"/>
          <w:kern w:val="28"/>
          <w:sz w:val="24"/>
          <w:highlight w:val="none"/>
        </w:rPr>
        <w:t>3</w:t>
      </w:r>
      <w:r>
        <w:rPr>
          <w:rFonts w:hint="eastAsia" w:ascii="仿宋_GB2312" w:hAnsi="仿宋_GB2312" w:eastAsia="仿宋_GB2312" w:cs="仿宋_GB2312"/>
          <w:kern w:val="28"/>
          <w:sz w:val="24"/>
          <w:szCs w:val="20"/>
          <w:highlight w:val="none"/>
        </w:rPr>
        <w:t>、乙方有义务配合甲方参与项目监督、考核和验收工作，并确保所服务项目内容符合本项目质量标准。如经甲方验收不合格的，乙方需对不合格部分进行整改直至合格，且对于不合格部分的费用甲方有权依照合同约定价款予以核减，因整改导致的项目延期乙方应按合同约定承担违约责任。</w:t>
      </w:r>
    </w:p>
    <w:p w14:paraId="288FB62E">
      <w:pPr>
        <w:pStyle w:val="5"/>
        <w:spacing w:line="384" w:lineRule="auto"/>
        <w:ind w:firstLine="480" w:firstLineChars="200"/>
        <w:rPr>
          <w:rFonts w:hint="eastAsia" w:ascii="仿宋_GB2312" w:hAnsi="仿宋_GB2312" w:eastAsia="仿宋_GB2312" w:cs="仿宋_GB2312"/>
          <w:kern w:val="28"/>
          <w:sz w:val="24"/>
          <w:szCs w:val="20"/>
          <w:highlight w:val="none"/>
        </w:rPr>
      </w:pPr>
      <w:r>
        <w:rPr>
          <w:rFonts w:hint="eastAsia" w:ascii="仿宋_GB2312" w:hAnsi="仿宋_GB2312" w:eastAsia="仿宋_GB2312" w:cs="仿宋_GB2312"/>
          <w:kern w:val="28"/>
          <w:sz w:val="24"/>
          <w:szCs w:val="20"/>
          <w:highlight w:val="none"/>
        </w:rPr>
        <w:t>4、非经甲方同意，乙方不得将本合同项下的服务项目转包或分包给其他第三方，不得将本合同项下的权利义务转让给第三人。</w:t>
      </w:r>
    </w:p>
    <w:p w14:paraId="7A9A6CF9">
      <w:pPr>
        <w:pStyle w:val="5"/>
        <w:spacing w:line="384" w:lineRule="auto"/>
        <w:ind w:firstLine="480" w:firstLineChars="200"/>
        <w:rPr>
          <w:rFonts w:hint="eastAsia" w:ascii="仿宋_GB2312" w:hAnsi="仿宋_GB2312" w:eastAsia="仿宋_GB2312" w:cs="仿宋_GB2312"/>
          <w:kern w:val="28"/>
          <w:sz w:val="24"/>
          <w:szCs w:val="20"/>
          <w:highlight w:val="none"/>
        </w:rPr>
      </w:pPr>
      <w:r>
        <w:rPr>
          <w:rFonts w:hint="eastAsia" w:ascii="仿宋_GB2312" w:hAnsi="仿宋_GB2312" w:eastAsia="仿宋_GB2312" w:cs="仿宋_GB2312"/>
          <w:kern w:val="28"/>
          <w:sz w:val="24"/>
          <w:szCs w:val="20"/>
          <w:highlight w:val="none"/>
        </w:rPr>
        <w:t>5、服务期限内，非甲方过错导致第三方利益受损的，由乙方承担赔偿责任；甲方对此垫付相关费用的，乙方应向甲方全额返还。</w:t>
      </w:r>
    </w:p>
    <w:p w14:paraId="1B687D61">
      <w:pPr>
        <w:pStyle w:val="5"/>
        <w:spacing w:line="384"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6、乙方项目负责人为</w:t>
      </w:r>
      <w:r>
        <w:rPr>
          <w:rFonts w:hint="eastAsia" w:ascii="仿宋" w:hAnsi="仿宋" w:eastAsia="仿宋"/>
          <w:sz w:val="24"/>
          <w:szCs w:val="24"/>
          <w:highlight w:val="none"/>
          <w:u w:val="single"/>
          <w:lang w:val="en-US" w:eastAsia="zh-CN"/>
        </w:rPr>
        <w:t xml:space="preserve">       </w:t>
      </w:r>
      <w:r>
        <w:rPr>
          <w:rFonts w:hint="eastAsia" w:ascii="仿宋" w:hAnsi="仿宋" w:eastAsia="仿宋"/>
          <w:sz w:val="24"/>
          <w:szCs w:val="24"/>
          <w:highlight w:val="none"/>
        </w:rPr>
        <w:t>，电话</w:t>
      </w:r>
      <w:r>
        <w:rPr>
          <w:rFonts w:hint="eastAsia" w:ascii="仿宋" w:hAnsi="仿宋" w:eastAsia="仿宋"/>
          <w:sz w:val="24"/>
          <w:szCs w:val="24"/>
          <w:highlight w:val="none"/>
          <w:u w:val="single"/>
          <w:lang w:val="en-US" w:eastAsia="zh-CN"/>
        </w:rPr>
        <w:t xml:space="preserve">          </w:t>
      </w:r>
      <w:r>
        <w:rPr>
          <w:rFonts w:hint="eastAsia" w:ascii="仿宋" w:hAnsi="仿宋" w:eastAsia="仿宋"/>
          <w:sz w:val="24"/>
          <w:szCs w:val="24"/>
          <w:highlight w:val="none"/>
        </w:rPr>
        <w:t>。</w:t>
      </w:r>
    </w:p>
    <w:p w14:paraId="6529A0E1">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六、质量要求、技术标准</w:t>
      </w:r>
    </w:p>
    <w:p w14:paraId="1F536CDF">
      <w:pPr>
        <w:pStyle w:val="5"/>
        <w:spacing w:line="384"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1、严格执行国家、行业、地方标准规范。</w:t>
      </w:r>
    </w:p>
    <w:p w14:paraId="1B48C77F">
      <w:pPr>
        <w:pStyle w:val="5"/>
        <w:spacing w:line="384"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2、质量管理、质控措施满足技术要求。</w:t>
      </w:r>
    </w:p>
    <w:p w14:paraId="4A0D7CD3">
      <w:pPr>
        <w:pStyle w:val="5"/>
        <w:spacing w:line="384"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3、监测过程需保存图片或视频资料。</w:t>
      </w:r>
    </w:p>
    <w:p w14:paraId="6D678A09">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七、服务要求</w:t>
      </w:r>
    </w:p>
    <w:p w14:paraId="61BC334A">
      <w:pPr>
        <w:spacing w:line="384"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1、乙方项目负责人与甲方进行业务对接工作，并且至少配备一名专职人员进行进度跟踪、数据分析、总结报送等工作。</w:t>
      </w:r>
    </w:p>
    <w:p w14:paraId="27CF7551">
      <w:pPr>
        <w:spacing w:line="384"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2、乙方提供服务计划及方案，包括但不限于服务内容、服务措施、服务质量和服务保障等；</w:t>
      </w:r>
    </w:p>
    <w:p w14:paraId="28350258">
      <w:pPr>
        <w:spacing w:line="384"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3、乙方应遵守有关的国家法律、法规和环境监测管理条例，严格执行环境监测技术规范和质量保证相关要求，遵守保密规定；</w:t>
      </w:r>
    </w:p>
    <w:p w14:paraId="217904D0">
      <w:pPr>
        <w:spacing w:line="384"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4、保密规定：乙方对委托方技术资料和监测结果及在履行本合同过程中或者的甲方未公开信息予以保密，未经委托方许可不得泄露、擅自向第三方提供任何资料，或将相关信息用于本合同外目的。本保密规定不因合同变更或终止而无效。</w:t>
      </w:r>
    </w:p>
    <w:p w14:paraId="6C35ECFA">
      <w:pPr>
        <w:spacing w:line="384"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5、响应时限：乙方接到甲方监测任务后进行采样并于7日内完成监测分析及报告提交。如有紧急监测任务，接到任务后2小时内安排监测，24小时内完成分析工作，48小时内出具报告。</w:t>
      </w:r>
    </w:p>
    <w:p w14:paraId="36EA73AF">
      <w:pPr>
        <w:spacing w:line="384"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6、实施过程中，检测项目根据实际情况发生调整的，如果涉及到不在报价范围内的项目，由双方进行协商。</w:t>
      </w:r>
    </w:p>
    <w:p w14:paraId="5C956C39">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lang w:eastAsia="zh-CN"/>
        </w:rPr>
        <w:t>八</w:t>
      </w:r>
      <w:r>
        <w:rPr>
          <w:rFonts w:hint="eastAsia" w:ascii="仿宋_GB2312" w:hAnsi="仿宋_GB2312" w:eastAsia="仿宋_GB2312" w:cs="仿宋_GB2312"/>
          <w:b/>
          <w:bCs/>
          <w:sz w:val="24"/>
          <w:highlight w:val="none"/>
        </w:rPr>
        <w:t>、项目考核验收</w:t>
      </w:r>
    </w:p>
    <w:p w14:paraId="17987814">
      <w:pPr>
        <w:spacing w:line="384" w:lineRule="auto"/>
        <w:ind w:firstLine="480" w:firstLineChars="200"/>
        <w:rPr>
          <w:rFonts w:hint="eastAsia" w:ascii="仿宋" w:hAnsi="仿宋" w:eastAsia="仿宋"/>
          <w:sz w:val="24"/>
          <w:szCs w:val="24"/>
          <w:highlight w:val="none"/>
        </w:rPr>
      </w:pPr>
      <w:r>
        <w:rPr>
          <w:rFonts w:hint="eastAsia" w:ascii="仿宋" w:hAnsi="仿宋" w:eastAsia="仿宋"/>
          <w:sz w:val="24"/>
          <w:szCs w:val="24"/>
          <w:highlight w:val="none"/>
        </w:rPr>
        <w:t>甲方依据《西安高新区生态环境监测服务考核评分表》按季度对乙方提供的服务进行考核，评分表具体内容见附件。</w:t>
      </w:r>
    </w:p>
    <w:p w14:paraId="60EB3862">
      <w:pPr>
        <w:spacing w:line="384" w:lineRule="auto"/>
        <w:ind w:firstLineChars="200"/>
        <w:rPr>
          <w:rFonts w:hint="eastAsia" w:ascii="仿宋" w:hAnsi="仿宋" w:eastAsia="仿宋"/>
          <w:sz w:val="24"/>
          <w:szCs w:val="24"/>
          <w:highlight w:val="none"/>
          <w:lang w:val="en-US" w:eastAsia="zh-CN"/>
        </w:rPr>
      </w:pPr>
      <w:r>
        <w:rPr>
          <w:rFonts w:hint="eastAsia" w:ascii="仿宋" w:hAnsi="仿宋" w:eastAsia="仿宋"/>
          <w:sz w:val="24"/>
          <w:szCs w:val="24"/>
          <w:highlight w:val="none"/>
          <w:lang w:val="en-US" w:eastAsia="zh-CN"/>
        </w:rPr>
        <w:t>服务期满且完成本合同服务内容，由甲方组织对项目进行验收，乙方应提供其完成的监测任务清单、监测报告及过程资料等。验收结果不满足本合同要求的，乙方需按照约定承担相应违约责任。</w:t>
      </w:r>
    </w:p>
    <w:p w14:paraId="2F17261D">
      <w:pPr>
        <w:spacing w:line="384" w:lineRule="auto"/>
        <w:ind w:firstLineChars="200"/>
        <w:rPr>
          <w:rFonts w:hint="eastAsia" w:ascii="仿宋" w:hAnsi="仿宋" w:eastAsia="仿宋"/>
          <w:sz w:val="24"/>
          <w:szCs w:val="24"/>
          <w:highlight w:val="none"/>
          <w:lang w:val="en-US" w:eastAsia="zh-CN"/>
        </w:rPr>
      </w:pPr>
      <w:r>
        <w:rPr>
          <w:rFonts w:hint="eastAsia" w:ascii="仿宋" w:hAnsi="仿宋" w:eastAsia="仿宋"/>
          <w:sz w:val="24"/>
          <w:szCs w:val="24"/>
          <w:highlight w:val="none"/>
          <w:lang w:val="en-US" w:eastAsia="zh-CN"/>
        </w:rPr>
        <w:t>验收依据包括合同文本、合同附件、磋商文件、成交供应商的响应文件以及监测过程资料、阶段性考核结果等。</w:t>
      </w:r>
    </w:p>
    <w:p w14:paraId="03C63D65">
      <w:pPr>
        <w:pStyle w:val="2"/>
        <w:rPr>
          <w:rFonts w:hint="eastAsia" w:ascii="仿宋" w:hAnsi="仿宋" w:eastAsia="仿宋"/>
          <w:sz w:val="24"/>
          <w:szCs w:val="24"/>
          <w:highlight w:val="none"/>
        </w:rPr>
      </w:pPr>
    </w:p>
    <w:p w14:paraId="0F19EB15">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lang w:eastAsia="zh-CN"/>
        </w:rPr>
        <w:t>九</w:t>
      </w:r>
      <w:r>
        <w:rPr>
          <w:rFonts w:hint="eastAsia" w:ascii="仿宋_GB2312" w:hAnsi="仿宋_GB2312" w:eastAsia="仿宋_GB2312" w:cs="仿宋_GB2312"/>
          <w:b/>
          <w:bCs/>
          <w:sz w:val="24"/>
          <w:highlight w:val="none"/>
        </w:rPr>
        <w:t>、保密条款</w:t>
      </w:r>
    </w:p>
    <w:p w14:paraId="6048A411">
      <w:p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1、双方承诺，除非法律另有规定或双方一致同意，任何一方不得将本协议的内容向第三方透露，否则，应向对方承担相应的违约责任。</w:t>
      </w:r>
    </w:p>
    <w:p w14:paraId="0DD44B77">
      <w:p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ascii="仿宋_GB2312" w:hAnsi="仿宋_GB2312" w:eastAsia="仿宋_GB2312" w:cs="仿宋_GB2312"/>
          <w:kern w:val="28"/>
          <w:sz w:val="24"/>
          <w:highlight w:val="none"/>
        </w:rPr>
        <w:t>2</w:t>
      </w:r>
      <w:r>
        <w:rPr>
          <w:rFonts w:hint="eastAsia" w:ascii="仿宋_GB2312" w:hAnsi="仿宋_GB2312" w:eastAsia="仿宋_GB2312" w:cs="仿宋_GB2312"/>
          <w:kern w:val="28"/>
          <w:sz w:val="24"/>
          <w:highlight w:val="none"/>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2415DD88">
      <w:p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3、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4A496493">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十、违约责任</w:t>
      </w:r>
    </w:p>
    <w:p w14:paraId="1756F38B">
      <w:p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lang w:val="en-US" w:eastAsia="zh-CN"/>
        </w:rPr>
        <w:t>1</w:t>
      </w:r>
      <w:r>
        <w:rPr>
          <w:rFonts w:hint="eastAsia" w:ascii="仿宋_GB2312" w:hAnsi="仿宋_GB2312" w:eastAsia="仿宋_GB2312" w:cs="仿宋_GB2312"/>
          <w:kern w:val="28"/>
          <w:sz w:val="24"/>
          <w:highlight w:val="none"/>
        </w:rPr>
        <w:t>、乙方应按照合同规定的期限完成监测服务，每延迟一天应承担当期应付款2‰的违约金，违约金累计不超过当期应付款10%。若违约金累计已达上限，乙方仍未履行，甲方有权解除合同，由此给甲方造成的损失全部由乙方承担</w:t>
      </w:r>
      <w:r>
        <w:rPr>
          <w:rFonts w:ascii="仿宋_GB2312" w:hAnsi="仿宋_GB2312" w:eastAsia="仿宋_GB2312" w:cs="仿宋_GB2312"/>
          <w:kern w:val="28"/>
          <w:sz w:val="24"/>
          <w:highlight w:val="none"/>
        </w:rPr>
        <w:t>，</w:t>
      </w:r>
      <w:r>
        <w:rPr>
          <w:rFonts w:hint="eastAsia" w:ascii="仿宋_GB2312" w:hAnsi="仿宋_GB2312" w:eastAsia="仿宋_GB2312" w:cs="仿宋_GB2312"/>
          <w:kern w:val="28"/>
          <w:sz w:val="24"/>
          <w:highlight w:val="none"/>
        </w:rPr>
        <w:t>乙方对此无异议</w:t>
      </w:r>
      <w:r>
        <w:rPr>
          <w:rFonts w:ascii="仿宋_GB2312" w:hAnsi="仿宋_GB2312" w:eastAsia="仿宋_GB2312" w:cs="仿宋_GB2312"/>
          <w:kern w:val="28"/>
          <w:sz w:val="24"/>
          <w:highlight w:val="none"/>
        </w:rPr>
        <w:t>。</w:t>
      </w:r>
    </w:p>
    <w:p w14:paraId="56B20FFF">
      <w:pPr>
        <w:shd w:val="clear" w:color="auto" w:fill="FFFFFF"/>
        <w:snapToGrid w:val="0"/>
        <w:spacing w:line="384" w:lineRule="auto"/>
        <w:ind w:firstLine="480" w:firstLineChars="200"/>
        <w:rPr>
          <w:rFonts w:ascii="仿宋_GB2312" w:hAnsi="仿宋_GB2312" w:eastAsia="仿宋_GB2312" w:cs="仿宋_GB2312"/>
          <w:kern w:val="28"/>
          <w:sz w:val="24"/>
          <w:szCs w:val="22"/>
          <w:highlight w:val="none"/>
        </w:rPr>
      </w:pPr>
      <w:r>
        <w:rPr>
          <w:rFonts w:hint="eastAsia" w:ascii="仿宋_GB2312" w:hAnsi="仿宋_GB2312" w:eastAsia="仿宋_GB2312" w:cs="仿宋_GB2312"/>
          <w:kern w:val="28"/>
          <w:sz w:val="24"/>
          <w:highlight w:val="none"/>
          <w:lang w:val="en-US" w:eastAsia="zh-CN"/>
        </w:rPr>
        <w:t>2</w:t>
      </w:r>
      <w:r>
        <w:rPr>
          <w:rFonts w:hint="eastAsia" w:ascii="仿宋_GB2312" w:hAnsi="仿宋_GB2312" w:eastAsia="仿宋_GB2312" w:cs="仿宋_GB2312"/>
          <w:kern w:val="28"/>
          <w:sz w:val="24"/>
          <w:szCs w:val="22"/>
          <w:highlight w:val="none"/>
        </w:rPr>
        <w:t>、乙方未按照合同要求提供服务或服务质量不能满足甲方招标要求，甲方有权终止合同和对乙方违约行为进行追究。因乙方原因导致合同解除或终止的，甲方有权将此项目重新委托他人。同时，乙方应退还甲方已支付款项，并支付合同标的额1</w:t>
      </w:r>
      <w:r>
        <w:rPr>
          <w:rFonts w:ascii="仿宋_GB2312" w:hAnsi="仿宋_GB2312" w:eastAsia="仿宋_GB2312" w:cs="仿宋_GB2312"/>
          <w:kern w:val="28"/>
          <w:sz w:val="24"/>
          <w:szCs w:val="22"/>
          <w:highlight w:val="none"/>
        </w:rPr>
        <w:t>0%</w:t>
      </w:r>
      <w:r>
        <w:rPr>
          <w:rFonts w:hint="eastAsia" w:ascii="仿宋_GB2312" w:hAnsi="仿宋_GB2312" w:eastAsia="仿宋_GB2312" w:cs="仿宋_GB2312"/>
          <w:kern w:val="28"/>
          <w:sz w:val="24"/>
          <w:szCs w:val="22"/>
          <w:highlight w:val="none"/>
        </w:rPr>
        <w:t>的违约金，给甲方造成损失的，甲方有权要求乙方承担全部责任。</w:t>
      </w:r>
    </w:p>
    <w:p w14:paraId="346E8AE0">
      <w:pPr>
        <w:shd w:val="clear" w:color="auto" w:fill="FFFFFF"/>
        <w:snapToGrid w:val="0"/>
        <w:spacing w:line="384"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kern w:val="28"/>
          <w:sz w:val="24"/>
          <w:szCs w:val="22"/>
          <w:highlight w:val="none"/>
          <w:lang w:val="en-US" w:eastAsia="zh-CN"/>
        </w:rPr>
        <w:t>3</w:t>
      </w:r>
      <w:r>
        <w:rPr>
          <w:rFonts w:hint="eastAsia" w:ascii="仿宋_GB2312" w:hAnsi="仿宋_GB2312" w:eastAsia="仿宋_GB2312" w:cs="仿宋_GB2312"/>
          <w:kern w:val="28"/>
          <w:sz w:val="24"/>
          <w:szCs w:val="22"/>
          <w:highlight w:val="none"/>
        </w:rPr>
        <w:t>、甲、乙双方中任何一方违反本合同第十条保密条款的，应当向相对方支付合</w:t>
      </w:r>
      <w:r>
        <w:rPr>
          <w:rFonts w:hint="eastAsia" w:ascii="仿宋_GB2312" w:hAnsi="仿宋_GB2312" w:eastAsia="仿宋_GB2312" w:cs="仿宋_GB2312"/>
          <w:sz w:val="24"/>
          <w:highlight w:val="none"/>
        </w:rPr>
        <w:t>同总价款10%的违约金。</w:t>
      </w:r>
    </w:p>
    <w:p w14:paraId="52D45210">
      <w:pPr>
        <w:shd w:val="clear" w:color="auto" w:fill="FFFFFF"/>
        <w:snapToGrid w:val="0"/>
        <w:spacing w:line="384"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4</w:t>
      </w:r>
      <w:r>
        <w:rPr>
          <w:rFonts w:hint="eastAsia" w:ascii="仿宋_GB2312" w:hAnsi="仿宋_GB2312" w:eastAsia="仿宋_GB2312" w:cs="仿宋_GB2312"/>
          <w:sz w:val="24"/>
          <w:highlight w:val="none"/>
        </w:rPr>
        <w:t>、乙方向甲方保证，其在向甲方提交合同约定的服务之前对合同约定的全部服务享有完全的知识产权及所有权，并保证该服务在交付甲方使用后没有任何权属纠纷，如在甲方使用该服务的过程中出现任何权属纠纷，均由乙方承担全部责任，乙方还应向甲方承担合同总价款</w:t>
      </w:r>
      <w:r>
        <w:rPr>
          <w:rFonts w:hint="eastAsia" w:ascii="仿宋" w:hAnsi="仿宋" w:eastAsia="仿宋" w:cs="仿宋"/>
          <w:sz w:val="24"/>
          <w:highlight w:val="none"/>
          <w:u w:val="single"/>
        </w:rPr>
        <w:t>10%</w:t>
      </w:r>
      <w:r>
        <w:rPr>
          <w:rFonts w:hint="eastAsia" w:ascii="仿宋_GB2312" w:hAnsi="仿宋_GB2312" w:eastAsia="仿宋_GB2312" w:cs="仿宋_GB2312"/>
          <w:sz w:val="24"/>
          <w:highlight w:val="none"/>
        </w:rPr>
        <w:t>的违约金，违约金不足以弥补给甲方造成的损失的，乙方还应当承担补足责任。</w:t>
      </w:r>
    </w:p>
    <w:p w14:paraId="47FF4DD7">
      <w:pPr>
        <w:shd w:val="clear" w:color="auto" w:fill="FFFFFF"/>
        <w:snapToGrid w:val="0"/>
        <w:spacing w:line="384" w:lineRule="auto"/>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5</w:t>
      </w:r>
      <w:r>
        <w:rPr>
          <w:rFonts w:hint="eastAsia" w:ascii="仿宋_GB2312" w:hAnsi="仿宋_GB2312" w:eastAsia="仿宋_GB2312" w:cs="仿宋_GB2312"/>
          <w:sz w:val="24"/>
          <w:highlight w:val="none"/>
        </w:rPr>
        <w:t>、合同成立后，在任何一方无实质违</w:t>
      </w:r>
      <w:r>
        <w:rPr>
          <w:rFonts w:hint="eastAsia" w:ascii="仿宋_GB2312" w:hAnsi="仿宋_GB2312" w:eastAsia="仿宋_GB2312" w:cs="仿宋_GB2312"/>
          <w:sz w:val="24"/>
          <w:szCs w:val="22"/>
          <w:highlight w:val="none"/>
        </w:rPr>
        <w:t>约（包括逾期未完成服务内容、乙方转包分包、提供的服务不符合标准等）</w:t>
      </w:r>
      <w:r>
        <w:rPr>
          <w:rFonts w:hint="eastAsia" w:ascii="仿宋_GB2312" w:hAnsi="仿宋_GB2312" w:eastAsia="仿宋_GB2312" w:cs="仿宋_GB2312"/>
          <w:sz w:val="24"/>
          <w:highlight w:val="none"/>
        </w:rPr>
        <w:t>的情况下，未经相对方书面允许，任何一方不得单方撤销、中止、终止履行合同。</w:t>
      </w:r>
    </w:p>
    <w:p w14:paraId="365F8783">
      <w:pPr>
        <w:shd w:val="clear" w:color="auto" w:fill="FFFFFF"/>
        <w:snapToGrid w:val="0"/>
        <w:spacing w:line="384" w:lineRule="auto"/>
        <w:ind w:firstLine="480" w:firstLineChars="200"/>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6</w:t>
      </w:r>
      <w:r>
        <w:rPr>
          <w:rFonts w:hint="eastAsia" w:ascii="仿宋_GB2312" w:hAnsi="仿宋_GB2312" w:eastAsia="仿宋_GB2312" w:cs="仿宋_GB2312"/>
          <w:sz w:val="24"/>
          <w:szCs w:val="22"/>
          <w:highlight w:val="none"/>
        </w:rPr>
        <w:t>、未经甲方书面许可，乙方将本合同项下的服务项目转包或分包给其他第三方，不得将本合同项下的权利义务转让给第三人的，乙方应按合同总价款的</w:t>
      </w:r>
      <w:r>
        <w:rPr>
          <w:rFonts w:hint="eastAsia" w:ascii="仿宋_GB2312" w:hAnsi="仿宋_GB2312" w:eastAsia="仿宋_GB2312" w:cs="仿宋_GB2312"/>
          <w:sz w:val="24"/>
          <w:szCs w:val="22"/>
          <w:highlight w:val="none"/>
          <w:lang w:val="en-US" w:eastAsia="zh-CN"/>
        </w:rPr>
        <w:t>10</w:t>
      </w:r>
      <w:r>
        <w:rPr>
          <w:rFonts w:hint="eastAsia" w:ascii="仿宋_GB2312" w:hAnsi="仿宋_GB2312" w:eastAsia="仿宋_GB2312" w:cs="仿宋_GB2312"/>
          <w:sz w:val="24"/>
          <w:szCs w:val="22"/>
          <w:highlight w:val="none"/>
        </w:rPr>
        <w:t>%向甲方支付违约金，同时甲方有权单方解除合同。</w:t>
      </w:r>
    </w:p>
    <w:p w14:paraId="17828CBB">
      <w:pPr>
        <w:shd w:val="clear" w:color="auto" w:fill="FFFFFF"/>
        <w:snapToGrid w:val="0"/>
        <w:spacing w:line="384"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7</w:t>
      </w:r>
      <w:r>
        <w:rPr>
          <w:rFonts w:hint="eastAsia" w:ascii="仿宋_GB2312" w:hAnsi="仿宋_GB2312" w:eastAsia="仿宋_GB2312" w:cs="仿宋_GB2312"/>
          <w:sz w:val="24"/>
          <w:highlight w:val="none"/>
        </w:rPr>
        <w:t>、乙方违反保密约定，未经甲方书面许可泄露甲方未公开信息的，应按合同总价款的</w:t>
      </w:r>
      <w:r>
        <w:rPr>
          <w:rFonts w:hint="eastAsia" w:ascii="仿宋_GB2312" w:hAnsi="仿宋_GB2312" w:eastAsia="仿宋_GB2312" w:cs="仿宋_GB2312"/>
          <w:sz w:val="24"/>
          <w:highlight w:val="none"/>
          <w:lang w:val="en-US" w:eastAsia="zh-CN"/>
        </w:rPr>
        <w:t>10</w:t>
      </w:r>
      <w:r>
        <w:rPr>
          <w:rFonts w:hint="eastAsia" w:ascii="仿宋_GB2312" w:hAnsi="仿宋_GB2312" w:eastAsia="仿宋_GB2312" w:cs="仿宋_GB2312"/>
          <w:sz w:val="24"/>
          <w:highlight w:val="none"/>
        </w:rPr>
        <w:t>%向甲方支付违约金，同时甲方有权单方解除合同</w:t>
      </w:r>
      <w:r>
        <w:rPr>
          <w:rFonts w:hint="eastAsia" w:ascii="仿宋_GB2312" w:hAnsi="仿宋_GB2312" w:eastAsia="仿宋_GB2312" w:cs="仿宋_GB2312"/>
          <w:sz w:val="24"/>
          <w:szCs w:val="20"/>
          <w:highlight w:val="none"/>
        </w:rPr>
        <w:t>；乙方违反保密约定</w:t>
      </w:r>
      <w:r>
        <w:rPr>
          <w:rFonts w:hint="eastAsia" w:ascii="仿宋_GB2312" w:hAnsi="仿宋_GB2312" w:eastAsia="仿宋_GB2312" w:cs="仿宋_GB2312"/>
          <w:sz w:val="24"/>
          <w:highlight w:val="none"/>
        </w:rPr>
        <w:t>给甲方造成损失的，应全额赔偿甲方损失。</w:t>
      </w:r>
    </w:p>
    <w:p w14:paraId="3B9C1740">
      <w:pPr>
        <w:pStyle w:val="2"/>
        <w:rPr>
          <w:rFonts w:hint="eastAsia"/>
          <w:highlight w:val="none"/>
        </w:rPr>
      </w:pPr>
    </w:p>
    <w:p w14:paraId="4A09BA28">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w:t>
      </w:r>
      <w:r>
        <w:rPr>
          <w:rFonts w:hint="eastAsia" w:ascii="仿宋_GB2312" w:hAnsi="仿宋_GB2312" w:eastAsia="仿宋_GB2312" w:cs="仿宋_GB2312"/>
          <w:b/>
          <w:bCs/>
          <w:sz w:val="24"/>
          <w:highlight w:val="none"/>
          <w:lang w:eastAsia="zh-CN"/>
        </w:rPr>
        <w:t>一</w:t>
      </w:r>
      <w:r>
        <w:rPr>
          <w:rFonts w:hint="eastAsia" w:ascii="仿宋_GB2312" w:hAnsi="仿宋_GB2312" w:eastAsia="仿宋_GB2312" w:cs="仿宋_GB2312"/>
          <w:b/>
          <w:bCs/>
          <w:sz w:val="24"/>
          <w:highlight w:val="none"/>
        </w:rPr>
        <w:t>、争议解决</w:t>
      </w:r>
    </w:p>
    <w:p w14:paraId="6B186886">
      <w:pPr>
        <w:shd w:val="clear" w:color="auto" w:fill="FFFFFF"/>
        <w:snapToGrid w:val="0"/>
        <w:spacing w:line="384" w:lineRule="auto"/>
        <w:ind w:firstLine="480" w:firstLineChars="200"/>
        <w:rPr>
          <w:highlight w:val="none"/>
        </w:rPr>
      </w:pPr>
      <w:r>
        <w:rPr>
          <w:rFonts w:hint="eastAsia" w:ascii="仿宋_GB2312" w:hAnsi="仿宋_GB2312" w:eastAsia="仿宋_GB2312" w:cs="仿宋_GB2312"/>
          <w:kern w:val="28"/>
          <w:sz w:val="24"/>
          <w:highlight w:val="none"/>
        </w:rPr>
        <w:t>合同各方应本着诚信的态度及共同合作的精神，通过协商及谈判来努力解决由本合同而产生的或与本合同有关（包括本合同项下某一特定服务买卖合同）的任何争议及不同意见。协商、谈判不能解决的，任何一方</w:t>
      </w:r>
      <w:r>
        <w:rPr>
          <w:rFonts w:hint="eastAsia" w:ascii="仿宋_GB2312" w:hAnsi="仿宋_GB2312" w:eastAsia="仿宋_GB2312" w:cs="仿宋_GB2312"/>
          <w:sz w:val="24"/>
          <w:highlight w:val="none"/>
        </w:rPr>
        <w:t>均有权向甲方所在地人民法院提起诉讼。</w:t>
      </w:r>
    </w:p>
    <w:p w14:paraId="052DB5C6">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w:t>
      </w:r>
      <w:r>
        <w:rPr>
          <w:rFonts w:hint="eastAsia" w:ascii="仿宋_GB2312" w:hAnsi="仿宋_GB2312" w:eastAsia="仿宋_GB2312" w:cs="仿宋_GB2312"/>
          <w:b/>
          <w:bCs/>
          <w:sz w:val="24"/>
          <w:highlight w:val="none"/>
          <w:lang w:eastAsia="zh-CN"/>
        </w:rPr>
        <w:t>二</w:t>
      </w:r>
      <w:r>
        <w:rPr>
          <w:rFonts w:hint="eastAsia" w:ascii="仿宋_GB2312" w:hAnsi="仿宋_GB2312" w:eastAsia="仿宋_GB2312" w:cs="仿宋_GB2312"/>
          <w:b/>
          <w:bCs/>
          <w:sz w:val="24"/>
          <w:highlight w:val="none"/>
        </w:rPr>
        <w:t>、协议期限</w:t>
      </w:r>
    </w:p>
    <w:p w14:paraId="35134967">
      <w:pPr>
        <w:shd w:val="clear" w:color="auto" w:fill="FFFFFF"/>
        <w:snapToGrid w:val="0"/>
        <w:spacing w:line="384" w:lineRule="auto"/>
        <w:ind w:firstLine="480" w:firstLineChars="200"/>
        <w:rPr>
          <w:highlight w:val="none"/>
        </w:rPr>
      </w:pPr>
      <w:r>
        <w:rPr>
          <w:rFonts w:hint="eastAsia" w:ascii="仿宋_GB2312" w:hAnsi="仿宋_GB2312" w:eastAsia="仿宋_GB2312" w:cs="仿宋_GB2312"/>
          <w:kern w:val="28"/>
          <w:sz w:val="24"/>
          <w:highlight w:val="none"/>
        </w:rPr>
        <w:t>本协议从双方法定代表人或授权代表签字并加盖公章之日起生效。</w:t>
      </w:r>
    </w:p>
    <w:p w14:paraId="37730E38">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w:t>
      </w:r>
      <w:r>
        <w:rPr>
          <w:rFonts w:hint="eastAsia" w:ascii="仿宋_GB2312" w:hAnsi="仿宋_GB2312" w:eastAsia="仿宋_GB2312" w:cs="仿宋_GB2312"/>
          <w:b/>
          <w:bCs/>
          <w:sz w:val="24"/>
          <w:highlight w:val="none"/>
          <w:lang w:eastAsia="zh-CN"/>
        </w:rPr>
        <w:t>三</w:t>
      </w:r>
      <w:r>
        <w:rPr>
          <w:rFonts w:hint="eastAsia" w:ascii="仿宋_GB2312" w:hAnsi="仿宋_GB2312" w:eastAsia="仿宋_GB2312" w:cs="仿宋_GB2312"/>
          <w:b/>
          <w:bCs/>
          <w:sz w:val="24"/>
          <w:highlight w:val="none"/>
        </w:rPr>
        <w:t>、不可抗力</w:t>
      </w:r>
    </w:p>
    <w:p w14:paraId="006A8C5E">
      <w:p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1、本合同项下的“不可抗力”是指不能预见，不能避免且不能克服的客观情况，使得本合同一方当事人无法履行合同义务，如战争、严重火灾、水灾、风灾和地震以及其他经三方同意属于不可抗力的事故。</w:t>
      </w:r>
    </w:p>
    <w:p w14:paraId="094B54E7">
      <w:p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2、一方因不可抗力不能履行合同或不能完全履行合同的，根据不可抗力的影响，可以部分或全部地免除责任。由于不可抗力原因致使项目服务中断时，项目交付日期及付款日期相应顺延，各方不承担违约责任。</w:t>
      </w:r>
    </w:p>
    <w:p w14:paraId="3F56C7A7">
      <w:p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3、如不可抗力时间延续90天以上的，各方通过协商达成在合理的时间内继续履行合同，或部分履行合同，或终止合同的履行。</w:t>
      </w:r>
    </w:p>
    <w:p w14:paraId="28B6F9FA">
      <w:pPr>
        <w:shd w:val="clear" w:color="auto" w:fill="FFFFFF"/>
        <w:snapToGrid w:val="0"/>
        <w:spacing w:line="384"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4、一方迟延履行后发生不可抗力的，不能免除责任。</w:t>
      </w:r>
    </w:p>
    <w:p w14:paraId="374107D7">
      <w:pPr>
        <w:pStyle w:val="2"/>
        <w:rPr>
          <w:highlight w:val="none"/>
        </w:rPr>
      </w:pPr>
    </w:p>
    <w:p w14:paraId="099F6CBF">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w:t>
      </w:r>
      <w:r>
        <w:rPr>
          <w:rFonts w:hint="eastAsia" w:ascii="仿宋_GB2312" w:hAnsi="仿宋_GB2312" w:eastAsia="仿宋_GB2312" w:cs="仿宋_GB2312"/>
          <w:b/>
          <w:bCs/>
          <w:sz w:val="24"/>
          <w:highlight w:val="none"/>
          <w:lang w:eastAsia="zh-CN"/>
        </w:rPr>
        <w:t>四</w:t>
      </w:r>
      <w:r>
        <w:rPr>
          <w:rFonts w:hint="eastAsia" w:ascii="仿宋_GB2312" w:hAnsi="仿宋_GB2312" w:eastAsia="仿宋_GB2312" w:cs="仿宋_GB2312"/>
          <w:b/>
          <w:bCs/>
          <w:sz w:val="24"/>
          <w:highlight w:val="none"/>
        </w:rPr>
        <w:t>、通知和合同修改</w:t>
      </w:r>
    </w:p>
    <w:p w14:paraId="49140ECC">
      <w:pPr>
        <w:shd w:val="clear" w:color="auto" w:fill="FFFFFF"/>
        <w:snapToGrid w:val="0"/>
        <w:spacing w:line="384"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本合同一方给另一方的通知，都应以书面的形式（信函、传真）发送至对方，对本合同条款进行任何改动，均须由甲乙双方签署书面合同修改，方为有效。</w:t>
      </w:r>
    </w:p>
    <w:p w14:paraId="475301A0">
      <w:pPr>
        <w:pStyle w:val="2"/>
        <w:rPr>
          <w:highlight w:val="none"/>
        </w:rPr>
      </w:pPr>
    </w:p>
    <w:p w14:paraId="09568447">
      <w:pPr>
        <w:shd w:val="clear" w:color="auto" w:fill="FFFFFF"/>
        <w:tabs>
          <w:tab w:val="left" w:pos="425"/>
        </w:tabs>
        <w:snapToGrid w:val="0"/>
        <w:spacing w:line="384" w:lineRule="auto"/>
        <w:textAlignment w:val="baseline"/>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w:t>
      </w:r>
      <w:r>
        <w:rPr>
          <w:rFonts w:hint="eastAsia" w:ascii="仿宋_GB2312" w:hAnsi="仿宋_GB2312" w:eastAsia="仿宋_GB2312" w:cs="仿宋_GB2312"/>
          <w:b/>
          <w:bCs/>
          <w:sz w:val="24"/>
          <w:highlight w:val="none"/>
          <w:lang w:eastAsia="zh-CN"/>
        </w:rPr>
        <w:t>五</w:t>
      </w:r>
      <w:r>
        <w:rPr>
          <w:rFonts w:hint="eastAsia" w:ascii="仿宋_GB2312" w:hAnsi="仿宋_GB2312" w:eastAsia="仿宋_GB2312" w:cs="仿宋_GB2312"/>
          <w:b/>
          <w:bCs/>
          <w:sz w:val="24"/>
          <w:highlight w:val="none"/>
        </w:rPr>
        <w:t>、其他规定</w:t>
      </w:r>
    </w:p>
    <w:p w14:paraId="0345C514">
      <w:p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本合同须经甲、乙双方的法定代表人（授权代表）签字、并加盖本单位公章后正式生效。本合同一式6份，其中甲方4份，乙方2份。</w:t>
      </w:r>
    </w:p>
    <w:p w14:paraId="32509767">
      <w:pPr>
        <w:shd w:val="clear" w:color="auto" w:fill="FFFFFF"/>
        <w:snapToGrid w:val="0"/>
        <w:spacing w:line="384" w:lineRule="auto"/>
        <w:ind w:firstLine="480" w:firstLineChars="20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 xml:space="preserve"> 本合同未尽事宜由双方共同协商，另行订立补充协议，补充协议与本协议具有同样的法律效力。如果本合同之附件与本合同规定不符, 以本合同规定为准。</w:t>
      </w:r>
    </w:p>
    <w:p w14:paraId="14A99833">
      <w:pPr>
        <w:shd w:val="clear" w:color="auto" w:fill="FFFFFF"/>
        <w:snapToGrid w:val="0"/>
        <w:spacing w:line="384" w:lineRule="auto"/>
        <w:ind w:firstLine="480" w:firstLineChars="200"/>
        <w:textAlignment w:val="auto"/>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本合同甲、乙双方均同意以上条款内容。</w:t>
      </w:r>
    </w:p>
    <w:p w14:paraId="79FDE9F5">
      <w:pPr>
        <w:shd w:val="clear" w:color="auto" w:fill="FFFFFF"/>
        <w:snapToGrid w:val="0"/>
        <w:spacing w:line="384" w:lineRule="auto"/>
        <w:ind w:firstLine="482" w:firstLineChars="200"/>
        <w:textAlignment w:val="auto"/>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w:t>
      </w:r>
      <w:r>
        <w:rPr>
          <w:rFonts w:hint="eastAsia" w:ascii="仿宋_GB2312" w:hAnsi="仿宋_GB2312" w:eastAsia="仿宋_GB2312" w:cs="仿宋_GB2312"/>
          <w:b/>
          <w:bCs/>
          <w:sz w:val="24"/>
          <w:highlight w:val="none"/>
          <w:lang w:eastAsia="zh-CN"/>
        </w:rPr>
        <w:t>六</w:t>
      </w:r>
      <w:r>
        <w:rPr>
          <w:rFonts w:hint="eastAsia" w:ascii="仿宋_GB2312" w:hAnsi="仿宋_GB2312" w:eastAsia="仿宋_GB2312" w:cs="仿宋_GB2312"/>
          <w:b/>
          <w:bCs/>
          <w:sz w:val="24"/>
          <w:highlight w:val="none"/>
        </w:rPr>
        <w:t>、附件</w:t>
      </w:r>
    </w:p>
    <w:p w14:paraId="66210507">
      <w:pPr>
        <w:shd w:val="clear" w:color="auto" w:fill="FFFFFF"/>
        <w:snapToGrid w:val="0"/>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《西安高新区生态环境监测服务考核评分表》。</w:t>
      </w:r>
    </w:p>
    <w:p w14:paraId="5732C69D">
      <w:pPr>
        <w:rPr>
          <w:highlight w:val="none"/>
        </w:rPr>
      </w:pPr>
    </w:p>
    <w:p w14:paraId="5F67FAB9">
      <w:pPr>
        <w:shd w:val="clear" w:color="auto" w:fill="FFFFFF"/>
        <w:snapToGrid w:val="0"/>
        <w:spacing w:before="0" w:line="360" w:lineRule="auto"/>
        <w:ind w:left="0"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（以下无正文）</w:t>
      </w:r>
    </w:p>
    <w:p w14:paraId="0A9ED267">
      <w:pPr>
        <w:shd w:val="clear" w:color="auto" w:fill="FFFFFF"/>
        <w:snapToGrid w:val="0"/>
        <w:spacing w:before="0" w:line="360" w:lineRule="auto"/>
        <w:ind w:left="0" w:firstLine="480" w:firstLineChars="200"/>
        <w:rPr>
          <w:rFonts w:hint="eastAsia" w:ascii="仿宋_GB2312" w:hAnsi="仿宋_GB2312" w:eastAsia="仿宋_GB2312" w:cs="仿宋_GB2312"/>
          <w:sz w:val="24"/>
          <w:highlight w:val="none"/>
        </w:rPr>
      </w:pPr>
    </w:p>
    <w:p w14:paraId="725723A8">
      <w:pPr>
        <w:shd w:val="clear" w:color="auto" w:fill="FFFFFF"/>
        <w:snapToGrid w:val="0"/>
        <w:spacing w:before="0" w:line="360" w:lineRule="auto"/>
        <w:ind w:left="0" w:firstLine="544" w:firstLineChars="200"/>
        <w:rPr>
          <w:rFonts w:ascii="仿宋" w:hAnsi="仿宋" w:eastAsia="仿宋" w:cs="仿宋"/>
          <w:spacing w:val="-4"/>
          <w:sz w:val="28"/>
          <w:szCs w:val="28"/>
          <w:highlight w:val="none"/>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7461A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Borders>
              <w:tl2br w:val="nil"/>
              <w:tr2bl w:val="nil"/>
            </w:tcBorders>
            <w:noWrap w:val="0"/>
            <w:vAlign w:val="top"/>
          </w:tcPr>
          <w:p w14:paraId="759DA7AC">
            <w:pPr>
              <w:shd w:val="clear" w:color="auto" w:fill="FFFFFF"/>
              <w:snapToGrid w:val="0"/>
              <w:spacing w:line="360" w:lineRule="auto"/>
              <w:ind w:left="720" w:hanging="720" w:hangingChars="300"/>
              <w:jc w:val="left"/>
              <w:rPr>
                <w:rFonts w:ascii="仿宋_GB2312" w:hAnsi="仿宋_GB2312" w:eastAsia="仿宋_GB2312" w:cs="仿宋_GB2312"/>
                <w:kern w:val="28"/>
                <w:sz w:val="24"/>
                <w:szCs w:val="22"/>
                <w:highlight w:val="none"/>
              </w:rPr>
            </w:pPr>
          </w:p>
          <w:p w14:paraId="0CB5536E">
            <w:pPr>
              <w:shd w:val="clear" w:color="auto" w:fill="FFFFFF"/>
              <w:snapToGrid w:val="0"/>
              <w:spacing w:line="360" w:lineRule="auto"/>
              <w:ind w:left="720" w:hanging="720" w:hangingChars="300"/>
              <w:jc w:val="left"/>
              <w:rPr>
                <w:rFonts w:ascii="仿宋_GB2312" w:hAnsi="仿宋_GB2312" w:eastAsia="仿宋_GB2312" w:cs="仿宋_GB2312"/>
                <w:kern w:val="28"/>
                <w:sz w:val="24"/>
                <w:szCs w:val="22"/>
                <w:highlight w:val="none"/>
              </w:rPr>
            </w:pPr>
            <w:r>
              <w:rPr>
                <w:rFonts w:hint="eastAsia" w:ascii="仿宋_GB2312" w:hAnsi="仿宋_GB2312" w:eastAsia="仿宋_GB2312" w:cs="仿宋_GB2312"/>
                <w:kern w:val="28"/>
                <w:sz w:val="24"/>
                <w:szCs w:val="22"/>
                <w:highlight w:val="none"/>
              </w:rPr>
              <w:t>甲方：</w:t>
            </w:r>
          </w:p>
          <w:p w14:paraId="18C6D763">
            <w:pPr>
              <w:shd w:val="clear" w:color="auto" w:fill="FFFFFF"/>
              <w:snapToGrid w:val="0"/>
              <w:spacing w:line="360" w:lineRule="auto"/>
              <w:jc w:val="left"/>
              <w:rPr>
                <w:rFonts w:hint="eastAsia" w:ascii="仿宋_GB2312" w:hAnsi="仿宋_GB2312" w:eastAsia="仿宋_GB2312" w:cs="仿宋_GB2312"/>
                <w:kern w:val="28"/>
                <w:sz w:val="24"/>
                <w:szCs w:val="22"/>
                <w:highlight w:val="none"/>
              </w:rPr>
            </w:pPr>
          </w:p>
          <w:p w14:paraId="1ACAEC07">
            <w:pPr>
              <w:shd w:val="clear" w:color="auto" w:fill="FFFFFF"/>
              <w:snapToGrid w:val="0"/>
              <w:spacing w:line="360" w:lineRule="auto"/>
              <w:jc w:val="left"/>
              <w:rPr>
                <w:rFonts w:ascii="仿宋_GB2312" w:hAnsi="仿宋_GB2312" w:eastAsia="仿宋_GB2312" w:cs="仿宋_GB2312"/>
                <w:kern w:val="28"/>
                <w:sz w:val="24"/>
                <w:szCs w:val="22"/>
                <w:highlight w:val="none"/>
              </w:rPr>
            </w:pPr>
            <w:r>
              <w:rPr>
                <w:rFonts w:hint="eastAsia" w:ascii="仿宋_GB2312" w:hAnsi="仿宋_GB2312" w:eastAsia="仿宋_GB2312" w:cs="仿宋_GB2312"/>
                <w:kern w:val="28"/>
                <w:sz w:val="24"/>
                <w:szCs w:val="22"/>
                <w:highlight w:val="none"/>
              </w:rPr>
              <w:t>地址：</w:t>
            </w:r>
          </w:p>
          <w:p w14:paraId="3AF937B9">
            <w:pPr>
              <w:pStyle w:val="3"/>
              <w:jc w:val="left"/>
              <w:rPr>
                <w:highlight w:val="none"/>
              </w:rPr>
            </w:pPr>
          </w:p>
          <w:p w14:paraId="2F2557F8">
            <w:pPr>
              <w:shd w:val="clear" w:color="auto" w:fill="FFFFFF"/>
              <w:snapToGrid w:val="0"/>
              <w:spacing w:line="360" w:lineRule="auto"/>
              <w:jc w:val="left"/>
              <w:rPr>
                <w:rFonts w:ascii="仿宋_GB2312" w:hAnsi="仿宋_GB2312" w:eastAsia="仿宋_GB2312" w:cs="仿宋_GB2312"/>
                <w:sz w:val="24"/>
                <w:highlight w:val="none"/>
              </w:rPr>
            </w:pPr>
            <w:r>
              <w:rPr>
                <w:rFonts w:hint="eastAsia" w:ascii="仿宋_GB2312" w:hAnsi="仿宋_GB2312" w:eastAsia="仿宋_GB2312" w:cs="仿宋_GB2312"/>
                <w:kern w:val="28"/>
                <w:sz w:val="24"/>
                <w:szCs w:val="22"/>
                <w:highlight w:val="none"/>
              </w:rPr>
              <w:t>邮编：</w:t>
            </w:r>
          </w:p>
          <w:p w14:paraId="06BDD812">
            <w:pPr>
              <w:shd w:val="clear" w:color="auto" w:fill="FFFFFF"/>
              <w:snapToGrid w:val="0"/>
              <w:spacing w:line="360" w:lineRule="auto"/>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法人代表或授权代表：</w:t>
            </w:r>
          </w:p>
          <w:p w14:paraId="74192564">
            <w:pPr>
              <w:shd w:val="clear" w:color="auto" w:fill="FFFFFF"/>
              <w:snapToGrid w:val="0"/>
              <w:spacing w:line="360" w:lineRule="auto"/>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电话：</w:t>
            </w:r>
          </w:p>
          <w:p w14:paraId="22C9030A">
            <w:pPr>
              <w:shd w:val="clear" w:color="auto" w:fill="FFFFFF"/>
              <w:snapToGrid w:val="0"/>
              <w:spacing w:line="360" w:lineRule="auto"/>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传真:</w:t>
            </w:r>
          </w:p>
          <w:p w14:paraId="21CB349C">
            <w:pPr>
              <w:shd w:val="clear" w:color="auto" w:fill="FFFFFF"/>
              <w:snapToGrid w:val="0"/>
              <w:spacing w:line="360" w:lineRule="auto"/>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日期：   年  月  日</w:t>
            </w:r>
          </w:p>
          <w:p w14:paraId="6780E761">
            <w:pPr>
              <w:pStyle w:val="3"/>
              <w:rPr>
                <w:highlight w:val="none"/>
              </w:rPr>
            </w:pPr>
          </w:p>
        </w:tc>
        <w:tc>
          <w:tcPr>
            <w:tcW w:w="4261" w:type="dxa"/>
            <w:tcBorders>
              <w:tl2br w:val="nil"/>
              <w:tr2bl w:val="nil"/>
            </w:tcBorders>
            <w:noWrap w:val="0"/>
            <w:vAlign w:val="top"/>
          </w:tcPr>
          <w:p w14:paraId="59FCDC06">
            <w:pPr>
              <w:shd w:val="clear" w:color="auto" w:fill="FFFFFF"/>
              <w:snapToGrid w:val="0"/>
              <w:spacing w:line="360" w:lineRule="auto"/>
              <w:jc w:val="left"/>
              <w:rPr>
                <w:rFonts w:ascii="仿宋_GB2312" w:hAnsi="仿宋_GB2312" w:eastAsia="仿宋_GB2312" w:cs="仿宋_GB2312"/>
                <w:kern w:val="28"/>
                <w:sz w:val="24"/>
                <w:highlight w:val="none"/>
              </w:rPr>
            </w:pPr>
          </w:p>
          <w:p w14:paraId="61BC09B8">
            <w:pPr>
              <w:shd w:val="clear" w:color="auto" w:fill="FFFFFF"/>
              <w:snapToGrid w:val="0"/>
              <w:spacing w:line="360" w:lineRule="auto"/>
              <w:ind w:left="720" w:hanging="720" w:hangingChars="300"/>
              <w:jc w:val="left"/>
              <w:rPr>
                <w:rFonts w:hint="eastAsia" w:ascii="仿宋_GB2312" w:hAnsi="仿宋_GB2312" w:eastAsia="仿宋_GB2312" w:cs="仿宋_GB2312"/>
                <w:kern w:val="28"/>
                <w:sz w:val="24"/>
                <w:szCs w:val="22"/>
                <w:highlight w:val="none"/>
              </w:rPr>
            </w:pPr>
            <w:r>
              <w:rPr>
                <w:rFonts w:hint="eastAsia" w:ascii="仿宋_GB2312" w:hAnsi="仿宋_GB2312" w:eastAsia="仿宋_GB2312" w:cs="仿宋_GB2312"/>
                <w:kern w:val="28"/>
                <w:sz w:val="24"/>
                <w:highlight w:val="none"/>
              </w:rPr>
              <w:t>乙</w:t>
            </w:r>
            <w:r>
              <w:rPr>
                <w:rFonts w:hint="eastAsia" w:ascii="仿宋_GB2312" w:hAnsi="仿宋_GB2312" w:eastAsia="仿宋_GB2312" w:cs="仿宋_GB2312"/>
                <w:kern w:val="28"/>
                <w:sz w:val="24"/>
                <w:szCs w:val="22"/>
                <w:highlight w:val="none"/>
              </w:rPr>
              <w:t>方：</w:t>
            </w:r>
          </w:p>
          <w:p w14:paraId="3C20983C">
            <w:pPr>
              <w:shd w:val="clear" w:color="auto" w:fill="FFFFFF"/>
              <w:snapToGrid w:val="0"/>
              <w:spacing w:line="360" w:lineRule="auto"/>
              <w:ind w:left="720" w:hanging="720" w:hangingChars="300"/>
              <w:jc w:val="left"/>
              <w:rPr>
                <w:rFonts w:hint="eastAsia" w:ascii="仿宋_GB2312" w:hAnsi="仿宋_GB2312" w:eastAsia="仿宋_GB2312" w:cs="仿宋_GB2312"/>
                <w:kern w:val="28"/>
                <w:sz w:val="24"/>
                <w:szCs w:val="22"/>
                <w:highlight w:val="none"/>
              </w:rPr>
            </w:pPr>
          </w:p>
          <w:p w14:paraId="16FE1C6A">
            <w:pPr>
              <w:shd w:val="clear" w:color="auto" w:fill="FFFFFF"/>
              <w:snapToGrid w:val="0"/>
              <w:spacing w:line="360" w:lineRule="auto"/>
              <w:ind w:left="720" w:hanging="720" w:hangingChars="300"/>
              <w:jc w:val="left"/>
              <w:rPr>
                <w:rFonts w:hint="eastAsia" w:ascii="仿宋_GB2312" w:hAnsi="仿宋_GB2312" w:eastAsia="仿宋_GB2312" w:cs="仿宋_GB2312"/>
                <w:kern w:val="28"/>
                <w:sz w:val="24"/>
                <w:szCs w:val="22"/>
                <w:highlight w:val="none"/>
              </w:rPr>
            </w:pPr>
            <w:r>
              <w:rPr>
                <w:rFonts w:hint="eastAsia" w:ascii="仿宋_GB2312" w:hAnsi="仿宋_GB2312" w:eastAsia="仿宋_GB2312" w:cs="仿宋_GB2312"/>
                <w:kern w:val="28"/>
                <w:sz w:val="24"/>
                <w:szCs w:val="22"/>
                <w:highlight w:val="none"/>
              </w:rPr>
              <w:t>地址：</w:t>
            </w:r>
          </w:p>
          <w:p w14:paraId="35EBF992">
            <w:pPr>
              <w:shd w:val="clear" w:color="auto" w:fill="FFFFFF"/>
              <w:snapToGrid w:val="0"/>
              <w:spacing w:line="360" w:lineRule="auto"/>
              <w:ind w:left="720" w:hanging="720" w:hangingChars="300"/>
              <w:jc w:val="left"/>
              <w:rPr>
                <w:rFonts w:hint="eastAsia" w:ascii="仿宋_GB2312" w:hAnsi="仿宋_GB2312" w:eastAsia="仿宋_GB2312" w:cs="仿宋_GB2312"/>
                <w:kern w:val="28"/>
                <w:sz w:val="24"/>
                <w:szCs w:val="22"/>
                <w:highlight w:val="none"/>
              </w:rPr>
            </w:pPr>
          </w:p>
          <w:p w14:paraId="401DA7E0">
            <w:pPr>
              <w:shd w:val="clear" w:color="auto" w:fill="FFFFFF"/>
              <w:snapToGrid w:val="0"/>
              <w:spacing w:line="360" w:lineRule="auto"/>
              <w:ind w:left="720" w:hanging="720" w:hangingChars="300"/>
              <w:jc w:val="left"/>
              <w:rPr>
                <w:rFonts w:hint="eastAsia" w:ascii="仿宋_GB2312" w:hAnsi="仿宋_GB2312" w:eastAsia="仿宋_GB2312" w:cs="仿宋_GB2312"/>
                <w:kern w:val="28"/>
                <w:sz w:val="24"/>
                <w:szCs w:val="22"/>
                <w:highlight w:val="none"/>
              </w:rPr>
            </w:pPr>
            <w:r>
              <w:rPr>
                <w:rFonts w:hint="eastAsia" w:ascii="仿宋_GB2312" w:hAnsi="仿宋_GB2312" w:eastAsia="仿宋_GB2312" w:cs="仿宋_GB2312"/>
                <w:kern w:val="28"/>
                <w:sz w:val="24"/>
                <w:szCs w:val="22"/>
                <w:highlight w:val="none"/>
              </w:rPr>
              <w:t>邮编：</w:t>
            </w:r>
          </w:p>
          <w:p w14:paraId="219D2A81">
            <w:pPr>
              <w:shd w:val="clear" w:color="auto" w:fill="FFFFFF"/>
              <w:snapToGrid w:val="0"/>
              <w:spacing w:line="360" w:lineRule="auto"/>
              <w:ind w:left="720" w:hanging="720" w:hangingChars="300"/>
              <w:jc w:val="left"/>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法人代表或授权代表：</w:t>
            </w:r>
          </w:p>
          <w:p w14:paraId="071066D7">
            <w:pPr>
              <w:shd w:val="clear" w:color="auto" w:fill="FFFFFF"/>
              <w:snapToGrid w:val="0"/>
              <w:spacing w:line="360" w:lineRule="auto"/>
              <w:ind w:left="720" w:hanging="720" w:hangingChars="300"/>
              <w:jc w:val="left"/>
              <w:rPr>
                <w:highlight w:val="none"/>
              </w:rPr>
            </w:pPr>
            <w:r>
              <w:rPr>
                <w:rFonts w:hint="eastAsia" w:ascii="仿宋_GB2312" w:hAnsi="仿宋_GB2312" w:eastAsia="仿宋_GB2312" w:cs="仿宋_GB2312"/>
                <w:kern w:val="28"/>
                <w:sz w:val="24"/>
                <w:highlight w:val="none"/>
              </w:rPr>
              <w:t>电话：</w:t>
            </w:r>
          </w:p>
          <w:p w14:paraId="4AE8AA9C">
            <w:pPr>
              <w:shd w:val="clear" w:color="auto" w:fill="FFFFFF"/>
              <w:snapToGrid w:val="0"/>
              <w:spacing w:line="360" w:lineRule="auto"/>
              <w:ind w:left="720" w:hanging="720" w:hangingChars="300"/>
              <w:jc w:val="left"/>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传真：</w:t>
            </w:r>
          </w:p>
          <w:p w14:paraId="4AB9EF60">
            <w:pPr>
              <w:shd w:val="clear" w:color="auto" w:fill="FFFFFF"/>
              <w:snapToGrid w:val="0"/>
              <w:spacing w:line="360" w:lineRule="auto"/>
              <w:ind w:left="720" w:hanging="720" w:hangingChars="300"/>
              <w:jc w:val="left"/>
              <w:rPr>
                <w:rFonts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日期：   年  月  日</w:t>
            </w:r>
          </w:p>
          <w:p w14:paraId="0A8BFA54">
            <w:pPr>
              <w:pStyle w:val="3"/>
              <w:rPr>
                <w:highlight w:val="none"/>
              </w:rPr>
            </w:pPr>
          </w:p>
        </w:tc>
      </w:tr>
    </w:tbl>
    <w:p w14:paraId="4FDBFF2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73052D"/>
    <w:multiLevelType w:val="singleLevel"/>
    <w:tmpl w:val="AB73052D"/>
    <w:lvl w:ilvl="0" w:tentative="0">
      <w:start w:val="1"/>
      <w:numFmt w:val="low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F43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next w:val="1"/>
    <w:unhideWhenUsed/>
    <w:qFormat/>
    <w:uiPriority w:val="0"/>
    <w:pPr>
      <w:keepNext/>
      <w:keepLines/>
      <w:widowControl w:val="0"/>
      <w:adjustRightInd w:val="0"/>
      <w:snapToGrid w:val="0"/>
      <w:spacing w:line="360" w:lineRule="auto"/>
      <w:jc w:val="both"/>
      <w:outlineLvl w:val="1"/>
    </w:pPr>
    <w:rPr>
      <w:rFonts w:ascii="Arial" w:hAnsi="Arial" w:eastAsia="宋体" w:cs="Times New Roman"/>
      <w:b/>
      <w:kern w:val="2"/>
      <w:sz w:val="30"/>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3"/>
    <w:basedOn w:val="1"/>
    <w:qFormat/>
    <w:uiPriority w:val="0"/>
    <w:pPr>
      <w:jc w:val="center"/>
    </w:pPr>
    <w:rPr>
      <w:b/>
      <w:spacing w:val="-20"/>
      <w:w w:val="110"/>
      <w:kern w:val="0"/>
      <w:sz w:val="52"/>
    </w:rPr>
  </w:style>
  <w:style w:type="paragraph" w:styleId="4">
    <w:name w:val="Normal Indent"/>
    <w:qFormat/>
    <w:uiPriority w:val="0"/>
    <w:pPr>
      <w:widowControl w:val="0"/>
      <w:ind w:firstLine="420"/>
      <w:jc w:val="both"/>
    </w:pPr>
    <w:rPr>
      <w:rFonts w:ascii="Times New Roman" w:hAnsi="Times New Roman" w:eastAsia="宋体" w:cs="Times New Roman"/>
      <w:kern w:val="2"/>
      <w:sz w:val="21"/>
      <w:lang w:val="en-US" w:eastAsia="zh-CN" w:bidi="ar-SA"/>
    </w:rPr>
  </w:style>
  <w:style w:type="paragraph" w:styleId="5">
    <w:name w:val="annotation text"/>
    <w:basedOn w:val="1"/>
    <w:qFormat/>
    <w:uiPriority w:val="0"/>
    <w:pPr>
      <w:jc w:val="left"/>
    </w:pPr>
  </w:style>
  <w:style w:type="paragraph" w:styleId="6">
    <w:name w:val="Body Text"/>
    <w:basedOn w:val="1"/>
    <w:next w:val="1"/>
    <w:qFormat/>
    <w:uiPriority w:val="0"/>
    <w:pPr>
      <w:jc w:val="left"/>
    </w:pPr>
    <w:rPr>
      <w:rFonts w:ascii="Copperplate Gothic Bold" w:hAnsi="Copperplate Gothic Bold"/>
      <w:sz w:val="28"/>
    </w:rPr>
  </w:style>
  <w:style w:type="table" w:styleId="8">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2025-09-17T09:05:13Z</dcterms:created>
  <dc:creator>Administrator</dc:creator>
  <cp:lastModifiedBy>Administrator</cp:lastModifiedBy>
  <dcterms:modified xsi:type="dcterms:W3CDTF">2025-09-17T09:05:46Z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C3A13EAC42094CB28C9E019EE891B1B2_12</vt:lpwstr>
  </property>
</Properties>
</file>