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版本号：HXGJXM2025-ZC-CS109620250922001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高新区第四次全国文物普查第三阶段服务项目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HXGJXM2025-ZC-CS1096</w:t>
      </w:r>
      <w:r>
        <w:br/>
      </w:r>
      <w:r>
        <w:br/>
      </w:r>
      <w:r>
        <w:br/>
      </w:r>
    </w:p>
    <w:p>
      <w:pPr>
        <w:pStyle w:val="null3"/>
        <w:jc w:val="center"/>
        <w:outlineLvl w:val="2"/>
      </w:pPr>
      <w:r>
        <w:rPr>
          <w:rFonts w:ascii="仿宋_GB2312" w:hAnsi="仿宋_GB2312" w:cs="仿宋_GB2312" w:eastAsia="仿宋_GB2312"/>
          <w:sz w:val="28"/>
          <w:b/>
        </w:rPr>
        <w:t>西安高新技术产业开发区宣传文旅局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西安高新技术产业开发区宣传文旅局</w:t>
      </w:r>
      <w:r>
        <w:rPr>
          <w:rFonts w:ascii="仿宋_GB2312" w:hAnsi="仿宋_GB2312" w:cs="仿宋_GB2312" w:eastAsia="仿宋_GB2312"/>
        </w:rPr>
        <w:t>委托，拟对</w:t>
      </w:r>
      <w:r>
        <w:rPr>
          <w:rFonts w:ascii="仿宋_GB2312" w:hAnsi="仿宋_GB2312" w:cs="仿宋_GB2312" w:eastAsia="仿宋_GB2312"/>
        </w:rPr>
        <w:t>高新区第四次全国文物普查第三阶段服务项目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高新区第四次全国文物普查第三阶段服务项目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按照《西安高新区第四次全国文物普查工作实施方案》，高新区已完成已认定登记的不可移动文物复查和新发现不可移动文物的调查工作。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采购包1（第四次全国文物普查第三阶段服务）：属于专门面向中小企业采购。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2、信用记录：供应商未被“信用中国”网站列入失信被执行人和重大税收违法失信主体，未被中国政府采购网列入政府采购严重违法失信行为记录名单(处罚期限届满的除外)（以现场信用记录查询结果为准）。</w:t>
      </w:r>
    </w:p>
    <w:p>
      <w:pPr>
        <w:pStyle w:val="null3"/>
      </w:pPr>
      <w:r>
        <w:rPr>
          <w:rFonts w:ascii="仿宋_GB2312" w:hAnsi="仿宋_GB2312" w:cs="仿宋_GB2312" w:eastAsia="仿宋_GB2312"/>
        </w:rPr>
        <w:t>3、资质：投标人须具备自然资源主管部门核发的测绘乙级及以上资质证书。</w:t>
      </w:r>
    </w:p>
    <w:p>
      <w:pPr>
        <w:pStyle w:val="null3"/>
      </w:pPr>
      <w:r>
        <w:rPr>
          <w:rFonts w:ascii="仿宋_GB2312" w:hAnsi="仿宋_GB2312" w:cs="仿宋_GB2312" w:eastAsia="仿宋_GB2312"/>
        </w:rPr>
        <w:t>4、联合体：不接受联合体投标。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成交单位在领取成交通知书前，须向采购代理机构一次性支付招标代理服务费。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西安高新技术产业开发区宣传文旅局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联系人：宋文倩、张艳萍、康敏茹</w:t>
      </w:r>
    </w:p>
    <w:p>
      <w:pPr>
        <w:pStyle w:val="null3"/>
      </w:pPr>
      <w:r>
        <w:rPr>
          <w:rFonts w:ascii="仿宋_GB2312" w:hAnsi="仿宋_GB2312" w:cs="仿宋_GB2312" w:eastAsia="仿宋_GB2312"/>
        </w:rPr>
        <w:t>联系电话： 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按照《西安高新区第四次全国文物普查工作实施方案》，高新区已完成已认定登记的不可移动文物复查和新发现不可移动文物的调查工作。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高新区第四次全国文物普查第三阶段服务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标的名称：高新区第四次全国文物普查第三阶段服务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工作内容</w:t>
            </w:r>
          </w:p>
          <w:p>
            <w:pPr>
              <w:pStyle w:val="null3"/>
              <w:ind w:firstLine="400"/>
              <w:jc w:val="both"/>
            </w:pPr>
            <w:r>
              <w:rPr>
                <w:rFonts w:ascii="仿宋_GB2312" w:hAnsi="仿宋_GB2312" w:cs="仿宋_GB2312" w:eastAsia="仿宋_GB2312"/>
                <w:sz w:val="21"/>
              </w:rPr>
              <w:t>1.依法开展不可移动文物认定、登记和公布。完善不可移动文物认定公布机制：对第三次全国文物普查已调查但未完成认定程序的不可移动文物，按相关规定和要求开展补充认定工作，对确认登记文物消失的情况，开展依法调查处置，对新发现文物，配合部门完成认定。经本次普查认定为不可移动文物的，及时完成登记，同步协助做好向本级人民政府报告、向上一级人民政府文物行政部门备案及社会公布等工作。</w:t>
            </w:r>
          </w:p>
          <w:p>
            <w:pPr>
              <w:pStyle w:val="null3"/>
              <w:ind w:firstLine="400"/>
              <w:jc w:val="both"/>
            </w:pPr>
            <w:r>
              <w:rPr>
                <w:rFonts w:ascii="仿宋_GB2312" w:hAnsi="仿宋_GB2312" w:cs="仿宋_GB2312" w:eastAsia="仿宋_GB2312"/>
                <w:sz w:val="21"/>
              </w:rPr>
              <w:t>2.建立不可移动文物资源目录，健全名录公布体系。根据普查结果建立高新区不可移动文物资源目录，对辖区内不可移动文物目录（涉密信息除外），配合政府按主动公开政府信息要求，通过政府公报、政府网站及其他互联网政务媒体等渠道完成社会公开工作。普查结束后，根据普查结果，为重要的不可移动文物核定公布为相应级别文物保护单位提供技术支撑。</w:t>
            </w:r>
          </w:p>
          <w:p>
            <w:pPr>
              <w:pStyle w:val="null3"/>
              <w:jc w:val="both"/>
            </w:pPr>
            <w:r>
              <w:rPr>
                <w:rFonts w:ascii="仿宋_GB2312" w:hAnsi="仿宋_GB2312" w:cs="仿宋_GB2312" w:eastAsia="仿宋_GB2312"/>
                <w:sz w:val="21"/>
              </w:rPr>
              <w:t xml:space="preserve">        3.开展普查成果汇总，建立高新区不可移动文物数据库。开展普查数据汇总工作，具体包括目录汇总、图件绘制、不可移动文物现状与发展态势分析、报告编制等事项，生成普查目录、图件、基础数据、报告及数据库等成果。同时建立高新区不可移动文物资源大数据库平台，并推动该数据库与国土空间规划“一张图”实施监督信息系统实现数据共享，为高新区文化遗产保护和基本建设提供技术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普查成果经过甲方组织验收合格后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投标人须具备自然资源主管部门核发的测绘乙级及以上资质证书。</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服务方案 商务条款偏离表及投入人员汇总.docx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商务条款偏离表及投入人员汇总.docx 标的清单 其他资料.docx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背景分析</w:t>
            </w:r>
          </w:p>
        </w:tc>
        <w:tc>
          <w:tcPr>
            <w:tcW w:type="dxa" w:w="2492"/>
          </w:tcPr>
          <w:p>
            <w:pPr>
              <w:pStyle w:val="null3"/>
            </w:pPr>
            <w:r>
              <w:rPr>
                <w:rFonts w:ascii="仿宋_GB2312" w:hAnsi="仿宋_GB2312" w:cs="仿宋_GB2312" w:eastAsia="仿宋_GB2312"/>
              </w:rPr>
              <w:t>根据普查任务，提供项目实施的需求分析方案，对项目背景、项目需求进行分析、对项目实施的重点、关键点进行分析： 1、对普查需求理解透彻、认知明晰，对项目实施的重点、关键点分析精准的得5分； 2、对普查需求理解较为透彻、认知相对明晰，对项目实施的重点、关键点有相应的分析得3分 3、不缺项且有简单描述的得1分；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1、充分理解项目采购需求，对项目建设意义和必要性、工作目的、工作重点阐述完整，得10分； 2、基本理解项目采购需求，对项目建设意义和必要性、工作目的、工作重点阐述相对完整，得7分； 3、对项目采购需求，对项目建设意义和必要性、工作目的、工作重点有简单阐述，得4分； 4、对项目采购需求，对项目建设意义和必要性、工作目的、工作重点有粗略描述且不完整，得1分；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根据普查任务和要求，提供项目实施技术路线，依据充分，思路清晰，采取方法切实可行： 1、内容完整、针对性、可行性强的得10分； 2、内容较完整，有针对性和可行性得7分； 3、内容基本完整，能够完成普查任务和要求的得4分； 4、简单描述的得1分；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组织机构及人员配置</w:t>
            </w:r>
          </w:p>
        </w:tc>
        <w:tc>
          <w:tcPr>
            <w:tcW w:type="dxa" w:w="2492"/>
          </w:tcPr>
          <w:p>
            <w:pPr>
              <w:pStyle w:val="null3"/>
            </w:pPr>
            <w:r>
              <w:rPr>
                <w:rFonts w:ascii="仿宋_GB2312" w:hAnsi="仿宋_GB2312" w:cs="仿宋_GB2312" w:eastAsia="仿宋_GB2312"/>
              </w:rPr>
              <w:t>供应商为本项目组建的项目实施团队应具有健全的项目组织机构，项目主要人员职责分工明确，组织保障措施完善： 1、分工明确、合理可行、可执行性强的得5分； 2、分工较为明确、有一定的可执行性得3分； 3、简单描述的得1分；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供应商有确保工程服务期的相关措施，能根据工作实际合理安排工作进度、措施等： 1、计划详细、合理可行、可执行性强的得10分； 2、有相应的计划、计划较为合理可行、有一定的可执行性的得7分； 3、有基础计划、计划基本合理、有基础可执行性的得4分； 4、有简单描述的得1分；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供应商有确保项目质量的相关措施，目标明确，质量控制思路清晰，质量管理体系健全，职责明确，措施办法可行等： 1、质量保障体系计划详细、合理可行，具有针对性和可执行性的得5分； 2、质量保障体系计划较为详细、合理，具有一定的针对性和可执行性的得3分； 3、有简单描述的得1分；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成果管理及保密措施</w:t>
            </w:r>
          </w:p>
        </w:tc>
        <w:tc>
          <w:tcPr>
            <w:tcW w:type="dxa" w:w="2492"/>
          </w:tcPr>
          <w:p>
            <w:pPr>
              <w:pStyle w:val="null3"/>
            </w:pPr>
            <w:r>
              <w:rPr>
                <w:rFonts w:ascii="仿宋_GB2312" w:hAnsi="仿宋_GB2312" w:cs="仿宋_GB2312" w:eastAsia="仿宋_GB2312"/>
              </w:rPr>
              <w:t>供应商为项目成果管理及数据、成果保密提供相应保证措施、保密制度、保密措施等： 1、相关保证措施完善，保密制度健全，保密措施得力的得5分； 2、相关保证措施较为完善，保密制度相对健全，有一定的保密措施的得3分； 3、有简单描述的得1分； 缺项或不提供的得0分。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供应商有确保本项目实施及人员安全的相关措施，目标明确，安全保障思路清晰，安全体系健全，职责明确，措施办法可行等： 1、供应商的项目安全保障方案全面、完善，安全措施合理、可行性高的得5分； 2、供应商的项目安全保障方案较为全面、完善，安全措施相对合理、可行的得3分； 3、有简单描述的得1分； 缺项或不提供的得0分；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后续服务计划与承诺</w:t>
            </w:r>
          </w:p>
        </w:tc>
        <w:tc>
          <w:tcPr>
            <w:tcW w:type="dxa" w:w="2492"/>
          </w:tcPr>
          <w:p>
            <w:pPr>
              <w:pStyle w:val="null3"/>
            </w:pPr>
            <w:r>
              <w:rPr>
                <w:rFonts w:ascii="仿宋_GB2312" w:hAnsi="仿宋_GB2312" w:cs="仿宋_GB2312" w:eastAsia="仿宋_GB2312"/>
              </w:rPr>
              <w:t>供应商关于本项目提供后续服务计划和承诺： 1、后续服务计划详细、合理，响应速度快，承诺针对本项目提供及时、专业化的后续服务的得5分； 2、针对后续服务有一定的计划，对本项目有相应的后续服务的得3分； 3、有简单描述的得1分； 缺项或未提供的不得分。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1.供应商拟投入项目组成人员具备测绘类中级或以上职称证书的每有1人得2分，本项满分10分； 2.拟指派的项目负责人具有高级工程师职称得5分，否则不得分； 3.项目负责人提供一个类似调查类业绩每提供一份得2.5分，满分5分。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供应商需提供2022年9月1日至今类似调查类项目业绩，响应文件中附有其业绩证明材料（以合同签订时间为准）每提供一个得2分，最多得10分。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磋商报价得分=（磋商基准价/最终磋商报价）×10的公式计算得分。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